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_GB2312"/>
          <w:color w:val="000000" w:themeColor="text1"/>
          <w:sz w:val="84"/>
          <w:highlight w:val="none"/>
          <w14:textFill>
            <w14:solidFill>
              <w14:schemeClr w14:val="tx1"/>
            </w14:solidFill>
          </w14:textFill>
        </w:rPr>
      </w:pPr>
    </w:p>
    <w:p>
      <w:pPr>
        <w:jc w:val="right"/>
        <w:rPr>
          <w:rFonts w:hint="eastAsia" w:ascii="黑体" w:eastAsia="黑体"/>
          <w:b/>
          <w:color w:val="000000" w:themeColor="text1"/>
          <w:spacing w:val="40"/>
          <w:w w:val="66"/>
          <w:sz w:val="56"/>
          <w:szCs w:val="56"/>
          <w:highlight w:val="none"/>
          <w14:textFill>
            <w14:solidFill>
              <w14:schemeClr w14:val="tx1"/>
            </w14:solidFill>
          </w14:textFill>
        </w:rPr>
      </w:pPr>
      <w:r>
        <w:rPr>
          <w:rFonts w:hint="eastAsia" w:ascii="黑体" w:eastAsia="黑体"/>
          <w:b/>
          <w:color w:val="000000" w:themeColor="text1"/>
          <w:spacing w:val="40"/>
          <w:w w:val="66"/>
          <w:sz w:val="56"/>
          <w:szCs w:val="56"/>
          <w:highlight w:val="none"/>
          <w14:textFill>
            <w14:solidFill>
              <w14:schemeClr w14:val="tx1"/>
            </w14:solidFill>
          </w14:textFill>
        </w:rPr>
        <w:t>天津市公共资源交易中心（天津市政府采购中心）统一缴费系统全电发票软件开发、</w:t>
      </w:r>
    </w:p>
    <w:p>
      <w:pPr>
        <w:jc w:val="right"/>
        <w:rPr>
          <w:rFonts w:hint="eastAsia" w:ascii="黑体" w:eastAsia="黑体"/>
          <w:b/>
          <w:color w:val="000000" w:themeColor="text1"/>
          <w:spacing w:val="40"/>
          <w:w w:val="66"/>
          <w:sz w:val="56"/>
          <w:szCs w:val="56"/>
          <w:highlight w:val="none"/>
          <w14:textFill>
            <w14:solidFill>
              <w14:schemeClr w14:val="tx1"/>
            </w14:solidFill>
          </w14:textFill>
        </w:rPr>
      </w:pPr>
      <w:r>
        <w:rPr>
          <w:rFonts w:hint="eastAsia" w:ascii="黑体" w:eastAsia="黑体"/>
          <w:b/>
          <w:color w:val="000000" w:themeColor="text1"/>
          <w:spacing w:val="40"/>
          <w:w w:val="66"/>
          <w:sz w:val="56"/>
          <w:szCs w:val="56"/>
          <w:highlight w:val="none"/>
          <w14:textFill>
            <w14:solidFill>
              <w14:schemeClr w14:val="tx1"/>
            </w14:solidFill>
          </w14:textFill>
        </w:rPr>
        <w:t>网站客服升级及土地交易信息发布</w:t>
      </w:r>
    </w:p>
    <w:p>
      <w:pPr>
        <w:jc w:val="right"/>
        <w:rPr>
          <w:rFonts w:hint="eastAsia" w:ascii="黑体" w:eastAsia="黑体"/>
          <w:b/>
          <w:color w:val="000000" w:themeColor="text1"/>
          <w:spacing w:val="40"/>
          <w:w w:val="66"/>
          <w:sz w:val="56"/>
          <w:szCs w:val="56"/>
          <w:highlight w:val="none"/>
          <w14:textFill>
            <w14:solidFill>
              <w14:schemeClr w14:val="tx1"/>
            </w14:solidFill>
          </w14:textFill>
        </w:rPr>
      </w:pPr>
      <w:r>
        <w:rPr>
          <w:rFonts w:hint="eastAsia" w:ascii="黑体" w:eastAsia="黑体"/>
          <w:b/>
          <w:color w:val="000000" w:themeColor="text1"/>
          <w:spacing w:val="40"/>
          <w:w w:val="66"/>
          <w:sz w:val="56"/>
          <w:szCs w:val="56"/>
          <w:highlight w:val="none"/>
          <w14:textFill>
            <w14:solidFill>
              <w14:schemeClr w14:val="tx1"/>
            </w14:solidFill>
          </w14:textFill>
        </w:rPr>
        <w:t>系统建设项目</w:t>
      </w:r>
    </w:p>
    <w:p>
      <w:pPr>
        <w:jc w:val="right"/>
        <w:rPr>
          <w:rFonts w:hint="eastAsia" w:ascii="黑体" w:eastAsia="黑体"/>
          <w:b/>
          <w:color w:val="000000" w:themeColor="text1"/>
          <w:spacing w:val="40"/>
          <w:w w:val="66"/>
          <w:sz w:val="56"/>
          <w:szCs w:val="56"/>
          <w:highlight w:val="none"/>
          <w14:textFill>
            <w14:solidFill>
              <w14:schemeClr w14:val="tx1"/>
            </w14:solidFill>
          </w14:textFill>
        </w:rPr>
      </w:pPr>
      <w:r>
        <w:rPr>
          <w:rFonts w:hint="eastAsia" w:ascii="黑体" w:eastAsia="黑体"/>
          <w:b/>
          <w:color w:val="000000" w:themeColor="text1"/>
          <w:spacing w:val="40"/>
          <w:w w:val="66"/>
          <w:sz w:val="56"/>
          <w:szCs w:val="56"/>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-111125</wp:posOffset>
                </wp:positionH>
                <wp:positionV relativeFrom="paragraph">
                  <wp:posOffset>239395</wp:posOffset>
                </wp:positionV>
                <wp:extent cx="2771775" cy="9525"/>
                <wp:effectExtent l="19050" t="95250" r="9525" b="10477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771775" cy="9525"/>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8.75pt;margin-top:18.85pt;height:0.75pt;width:218.25pt;z-index:251659264;mso-width-relative:page;mso-height-relative:page;" filled="f" stroked="t" coordsize="21600,21600" o:gfxdata="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YDic9cAAAAJAQAADwAAAAAAAAABACAAAAAiAAAAZHJzL2Rvd25yZXYueG1sUEsBAhQAFAAAAAgA&#10;h07iQMf9OEztAQAArwMAAA4AAAAAAAAAAQAgAAAAJgEAAGRycy9lMm9Eb2MueG1sUEsFBgAAAAAG&#10;AAYAWQEAAIUFAAAAAA==&#10;">
                <v:fill on="f" focussize="0,0"/>
                <v:stroke weight="15pt" color="#4B69B5" joinstyle="round"/>
                <v:imagedata o:title=""/>
                <o:lock v:ext="edit" aspectratio="f"/>
              </v:line>
            </w:pict>
          </mc:Fallback>
        </mc:AlternateContent>
      </w:r>
      <w:r>
        <w:rPr>
          <w:rFonts w:hint="eastAsia" w:ascii="黑体" w:eastAsia="黑体"/>
          <w:b/>
          <w:color w:val="000000" w:themeColor="text1"/>
          <w:spacing w:val="40"/>
          <w:w w:val="66"/>
          <w:sz w:val="56"/>
          <w:szCs w:val="56"/>
          <w:highlight w:val="none"/>
          <w14:textFill>
            <w14:solidFill>
              <w14:schemeClr w14:val="tx1"/>
            </w14:solidFill>
          </w14:textFill>
        </w:rPr>
        <w:t>单一来源采购文件</w:t>
      </w:r>
    </w:p>
    <w:p>
      <w:pPr>
        <w:jc w:val="center"/>
        <w:rPr>
          <w:rFonts w:ascii="黑体" w:eastAsia="黑体"/>
          <w:b/>
          <w:color w:val="000000" w:themeColor="text1"/>
          <w:spacing w:val="40"/>
          <w:w w:val="66"/>
          <w:sz w:val="36"/>
          <w:szCs w:val="36"/>
          <w:highlight w:val="none"/>
          <w14:textFill>
            <w14:solidFill>
              <w14:schemeClr w14:val="tx1"/>
            </w14:solidFill>
          </w14:textFill>
        </w:rPr>
      </w:pPr>
    </w:p>
    <w:p>
      <w:pPr>
        <w:jc w:val="center"/>
        <w:rPr>
          <w:rFonts w:ascii="黑体" w:eastAsia="黑体"/>
          <w:b/>
          <w:color w:val="000000" w:themeColor="text1"/>
          <w:spacing w:val="40"/>
          <w:w w:val="66"/>
          <w:sz w:val="36"/>
          <w:szCs w:val="36"/>
          <w:highlight w:val="none"/>
          <w14:textFill>
            <w14:solidFill>
              <w14:schemeClr w14:val="tx1"/>
            </w14:solidFill>
          </w14:textFill>
        </w:rPr>
      </w:pPr>
    </w:p>
    <w:p>
      <w:pPr>
        <w:jc w:val="center"/>
        <w:rPr>
          <w:rFonts w:ascii="黑体" w:eastAsia="黑体"/>
          <w:color w:val="000000" w:themeColor="text1"/>
          <w:spacing w:val="40"/>
          <w:w w:val="66"/>
          <w:sz w:val="36"/>
          <w:szCs w:val="36"/>
          <w:highlight w:val="none"/>
          <w14:textFill>
            <w14:solidFill>
              <w14:schemeClr w14:val="tx1"/>
            </w14:solidFill>
          </w14:textFill>
        </w:rPr>
      </w:pPr>
      <w:r>
        <w:rPr>
          <w:rFonts w:eastAsia="黑体"/>
          <w:color w:val="000000" w:themeColor="text1"/>
          <w:spacing w:val="40"/>
          <w:w w:val="66"/>
          <w:sz w:val="32"/>
          <w:szCs w:val="32"/>
          <w:highlight w:val="none"/>
          <w14:textFill>
            <w14:solidFill>
              <w14:schemeClr w14:val="tx1"/>
            </w14:solidFill>
          </w14:textFill>
        </w:rPr>
        <w:t>（项目编号：</w:t>
      </w:r>
      <w:r>
        <w:rPr>
          <w:rFonts w:hint="eastAsia" w:eastAsia="黑体"/>
          <w:color w:val="000000" w:themeColor="text1"/>
          <w:spacing w:val="40"/>
          <w:w w:val="66"/>
          <w:sz w:val="32"/>
          <w:szCs w:val="32"/>
          <w:highlight w:val="none"/>
          <w14:textFill>
            <w14:solidFill>
              <w14:schemeClr w14:val="tx1"/>
            </w14:solidFill>
          </w14:textFill>
        </w:rPr>
        <w:t>TGPC-2023-D-0777</w:t>
      </w:r>
      <w:r>
        <w:rPr>
          <w:rFonts w:eastAsia="黑体"/>
          <w:color w:val="000000" w:themeColor="text1"/>
          <w:spacing w:val="40"/>
          <w:w w:val="66"/>
          <w:sz w:val="32"/>
          <w:szCs w:val="32"/>
          <w:highlight w:val="none"/>
          <w14:textFill>
            <w14:solidFill>
              <w14:schemeClr w14:val="tx1"/>
            </w14:solidFill>
          </w14:textFill>
        </w:rPr>
        <w:t>）</w:t>
      </w:r>
    </w:p>
    <w:p>
      <w:pPr>
        <w:rPr>
          <w:color w:val="000000" w:themeColor="text1"/>
          <w:sz w:val="40"/>
          <w:highlight w:val="none"/>
          <w14:textFill>
            <w14:solidFill>
              <w14:schemeClr w14:val="tx1"/>
            </w14:solidFill>
          </w14:textFill>
        </w:rPr>
      </w:pPr>
    </w:p>
    <w:p>
      <w:pPr>
        <w:rPr>
          <w:color w:val="000000" w:themeColor="text1"/>
          <w:sz w:val="40"/>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ind w:firstLine="2897" w:firstLineChars="1493"/>
        <w:rPr>
          <w:rFonts w:ascii="黑体" w:eastAsia="黑体"/>
          <w:color w:val="000000" w:themeColor="text1"/>
          <w:spacing w:val="20"/>
          <w:w w:val="66"/>
          <w:sz w:val="44"/>
          <w:szCs w:val="4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2" name="图片 2"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hint="eastAsia" w:ascii="黑体" w:eastAsia="黑体"/>
          <w:color w:val="000000" w:themeColor="text1"/>
          <w:spacing w:val="20"/>
          <w:w w:val="66"/>
          <w:sz w:val="44"/>
          <w:szCs w:val="44"/>
          <w:highlight w:val="none"/>
          <w14:textFill>
            <w14:solidFill>
              <w14:schemeClr w14:val="tx1"/>
            </w14:solidFill>
          </w14:textFill>
        </w:rPr>
        <w:t>天津市政府采购中心</w:t>
      </w:r>
    </w:p>
    <w:p>
      <w:pPr>
        <w:tabs>
          <w:tab w:val="left" w:pos="3281"/>
          <w:tab w:val="center" w:pos="4711"/>
        </w:tabs>
        <w:jc w:val="center"/>
        <w:rPr>
          <w:rFonts w:hint="default" w:ascii="仿宋_GB2312" w:eastAsia="仿宋_GB2312"/>
          <w:b/>
          <w:bCs/>
          <w:color w:val="000000" w:themeColor="text1"/>
          <w:kern w:val="0"/>
          <w:sz w:val="44"/>
          <w:szCs w:val="44"/>
          <w:highlight w:val="none"/>
          <w:lang w:val="en-US" w:eastAsia="zh-CN"/>
          <w14:textFill>
            <w14:solidFill>
              <w14:schemeClr w14:val="tx1"/>
            </w14:solidFill>
          </w14:textFill>
        </w:rPr>
      </w:pPr>
      <w:r>
        <w:rPr>
          <w:rFonts w:eastAsia="仿宋_GB2312"/>
          <w:b/>
          <w:bCs/>
          <w:color w:val="000000" w:themeColor="text1"/>
          <w:kern w:val="0"/>
          <w:sz w:val="44"/>
          <w:szCs w:val="44"/>
          <w:highlight w:val="none"/>
          <w14:textFill>
            <w14:solidFill>
              <w14:schemeClr w14:val="tx1"/>
            </w14:solidFill>
          </w14:textFill>
        </w:rPr>
        <w:t>2023.</w:t>
      </w:r>
      <w:r>
        <w:rPr>
          <w:rFonts w:hint="eastAsia" w:eastAsia="仿宋_GB2312"/>
          <w:b/>
          <w:bCs/>
          <w:color w:val="000000" w:themeColor="text1"/>
          <w:kern w:val="0"/>
          <w:sz w:val="44"/>
          <w:szCs w:val="44"/>
          <w:highlight w:val="none"/>
          <w:lang w:val="en-US" w:eastAsia="zh-CN"/>
          <w14:textFill>
            <w14:solidFill>
              <w14:schemeClr w14:val="tx1"/>
            </w14:solidFill>
          </w14:textFill>
        </w:rPr>
        <w:t>10</w:t>
      </w:r>
    </w:p>
    <w:p>
      <w:pPr>
        <w:tabs>
          <w:tab w:val="left" w:pos="3281"/>
          <w:tab w:val="center" w:pos="4711"/>
        </w:tabs>
        <w:jc w:val="center"/>
        <w:rPr>
          <w:rFonts w:eastAsia="仿宋_GB2312"/>
          <w:b/>
          <w:bCs/>
          <w:color w:val="000000" w:themeColor="text1"/>
          <w:kern w:val="0"/>
          <w:sz w:val="44"/>
          <w:szCs w:val="44"/>
          <w:highlight w:val="none"/>
          <w14:textFill>
            <w14:solidFill>
              <w14:schemeClr w14:val="tx1"/>
            </w14:solidFill>
          </w14:textFill>
        </w:rPr>
      </w:pPr>
    </w:p>
    <w:p>
      <w:pPr>
        <w:widowControl/>
        <w:jc w:val="left"/>
        <w:rPr>
          <w:rFonts w:eastAsia="仿宋_GB2312"/>
          <w:b/>
          <w:bCs/>
          <w:color w:val="000000" w:themeColor="text1"/>
          <w:kern w:val="0"/>
          <w:sz w:val="44"/>
          <w:szCs w:val="44"/>
          <w:highlight w:val="none"/>
          <w14:textFill>
            <w14:solidFill>
              <w14:schemeClr w14:val="tx1"/>
            </w14:solidFill>
          </w14:textFill>
        </w:rPr>
        <w:sectPr>
          <w:headerReference r:id="rId3" w:type="default"/>
          <w:pgSz w:w="11906" w:h="16838"/>
          <w:pgMar w:top="1440" w:right="1797" w:bottom="1440" w:left="1797" w:header="851" w:footer="992" w:gutter="0"/>
          <w:cols w:space="425" w:num="1"/>
          <w:docGrid w:type="linesAndChars" w:linePitch="285" w:charSpace="-3449"/>
        </w:sectPr>
      </w:pPr>
    </w:p>
    <w:p>
      <w:pPr>
        <w:spacing w:line="360" w:lineRule="auto"/>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邀请函</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受天津市公共资源交易中心（天津市政府采购中心）委托</w:t>
      </w:r>
      <w:r>
        <w:rPr>
          <w:rFonts w:hint="eastAsia" w:ascii="宋体" w:hAnsi="宋体"/>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天津市政府采购中心以单一来源采购方式，对天津市公共资源交易中心（天津市政府采购中心）统一缴费系统全电发票软件开发、网站客服升级及土地交易信息发布系统建设项目实施采购，现邀请北京启兮顺腾信息技术有限公司参与谈判。</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为远程电子采购，一律不接受纸质响应文件，只接受加盖供应商电子签章的PDF格式电子响应文件（以通过天津公共资源电子签章客户端正确读取签章信息为准）。供应商参加谈判前须办理CA数字证书（USBKEY）和电子签章。供应商须按单一来源采购文件的规定在天津市政府采购中心“网上招投标”系统中提交网上应答并上传加盖供应商电子签章的PDF格式电子响应文件（以通过天津公共资源电子签章客户端正确读取签章信息为准）。</w:t>
      </w:r>
    </w:p>
    <w:p>
      <w:pPr>
        <w:spacing w:line="360" w:lineRule="auto"/>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A．供应商须知</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一、项目名称和编号</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（一）项目名称：天津市公共资源交易中心（天津市政府采购中心）统一缴费系统全电发票软件开发、网站客服升级及土地交易信息发布系统建设项目</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（二）项目编号：</w:t>
      </w:r>
      <w:r>
        <w:rPr>
          <w:rFonts w:hint="eastAsia"/>
          <w:color w:val="000000" w:themeColor="text1"/>
          <w:sz w:val="24"/>
          <w:szCs w:val="24"/>
          <w:highlight w:val="none"/>
          <w14:textFill>
            <w14:solidFill>
              <w14:schemeClr w14:val="tx1"/>
            </w14:solidFill>
          </w14:textFill>
        </w:rPr>
        <w:t xml:space="preserve">TGPC-2023-D-0777   </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二、项目内容：</w:t>
      </w:r>
    </w:p>
    <w:p>
      <w:pPr>
        <w:spacing w:line="36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第一包：统一缴费系统全电发票软件开发</w:t>
      </w:r>
      <w:r>
        <w:rPr>
          <w:rFonts w:hint="eastAsia"/>
          <w:color w:val="000000" w:themeColor="text1"/>
          <w:sz w:val="24"/>
          <w:highlight w:val="none"/>
          <w:lang w:val="en-US" w:eastAsia="zh-CN"/>
          <w14:textFill>
            <w14:solidFill>
              <w14:schemeClr w14:val="tx1"/>
            </w14:solidFill>
          </w14:textFill>
        </w:rPr>
        <w:t>系统</w:t>
      </w:r>
      <w:r>
        <w:rPr>
          <w:rFonts w:hint="eastAsia"/>
          <w:color w:val="000000" w:themeColor="text1"/>
          <w:sz w:val="24"/>
          <w:highlight w:val="none"/>
          <w:lang w:eastAsia="zh-CN"/>
          <w14:textFill>
            <w14:solidFill>
              <w14:schemeClr w14:val="tx1"/>
            </w14:solidFill>
          </w14:textFill>
        </w:rPr>
        <w:t>，合同履行</w:t>
      </w:r>
      <w:r>
        <w:rPr>
          <w:rFonts w:hint="eastAsia"/>
          <w:color w:val="000000" w:themeColor="text1"/>
          <w:sz w:val="24"/>
          <w:highlight w:val="none"/>
          <w14:textFill>
            <w14:solidFill>
              <w14:schemeClr w14:val="tx1"/>
            </w14:solidFill>
          </w14:textFill>
        </w:rPr>
        <w:t>期限</w:t>
      </w:r>
      <w:r>
        <w:rPr>
          <w:rFonts w:hint="eastAsia"/>
          <w:color w:val="000000" w:themeColor="text1"/>
          <w:sz w:val="24"/>
          <w:highlight w:val="none"/>
          <w:lang w:eastAsia="zh-CN"/>
          <w14:textFill>
            <w14:solidFill>
              <w14:schemeClr w14:val="tx1"/>
            </w14:solidFill>
          </w14:textFill>
        </w:rPr>
        <w:t>：签订合同之日起45天内完成项目开发、测试工作；</w:t>
      </w:r>
    </w:p>
    <w:p>
      <w:pPr>
        <w:spacing w:line="360" w:lineRule="auto"/>
        <w:ind w:firstLine="480" w:firstLineChars="200"/>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第二包：网站客服升级系统，</w:t>
      </w:r>
      <w:r>
        <w:rPr>
          <w:rFonts w:hint="eastAsia"/>
          <w:color w:val="000000" w:themeColor="text1"/>
          <w:sz w:val="24"/>
          <w:highlight w:val="none"/>
          <w14:textFill>
            <w14:solidFill>
              <w14:schemeClr w14:val="tx1"/>
            </w14:solidFill>
          </w14:textFill>
        </w:rPr>
        <w:t>合同履行期限</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签订合同之日起2个月完成系统开完、部署及上线运行；</w:t>
      </w:r>
    </w:p>
    <w:p>
      <w:pPr>
        <w:spacing w:line="360" w:lineRule="auto"/>
        <w:ind w:firstLine="480" w:firstLineChars="200"/>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第三包：土地交易信息发布系统，</w:t>
      </w:r>
      <w:r>
        <w:rPr>
          <w:rFonts w:hint="eastAsia"/>
          <w:color w:val="000000" w:themeColor="text1"/>
          <w:sz w:val="24"/>
          <w:highlight w:val="none"/>
          <w14:textFill>
            <w14:solidFill>
              <w14:schemeClr w14:val="tx1"/>
            </w14:solidFill>
          </w14:textFill>
        </w:rPr>
        <w:t>合同履行期限</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签订合同之日起45个工作日内完成项目开发、测试工作。</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三、项目预算</w:t>
      </w:r>
    </w:p>
    <w:p>
      <w:pPr>
        <w:pStyle w:val="69"/>
        <w:spacing w:line="360" w:lineRule="auto"/>
        <w:ind w:firstLine="480" w:firstLineChars="200"/>
        <w:jc w:val="both"/>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第一包：</w:t>
      </w:r>
      <w:r>
        <w:rPr>
          <w:rFonts w:hint="eastAsia"/>
          <w:color w:val="000000" w:themeColor="text1"/>
          <w:highlight w:val="none"/>
          <w:lang w:val="en-US" w:eastAsia="zh-CN"/>
          <w14:textFill>
            <w14:solidFill>
              <w14:schemeClr w14:val="tx1"/>
            </w14:solidFill>
          </w14:textFill>
        </w:rPr>
        <w:t>150000元；</w:t>
      </w:r>
    </w:p>
    <w:p>
      <w:pPr>
        <w:pStyle w:val="69"/>
        <w:spacing w:line="360" w:lineRule="auto"/>
        <w:ind w:firstLine="480" w:firstLineChars="200"/>
        <w:jc w:val="both"/>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第二包：</w:t>
      </w:r>
      <w:r>
        <w:rPr>
          <w:rFonts w:hint="eastAsia"/>
          <w:color w:val="000000" w:themeColor="text1"/>
          <w:highlight w:val="none"/>
          <w:lang w:val="en-US" w:eastAsia="zh-CN"/>
          <w14:textFill>
            <w14:solidFill>
              <w14:schemeClr w14:val="tx1"/>
            </w14:solidFill>
          </w14:textFill>
        </w:rPr>
        <w:t>25000元；</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三</w:t>
      </w:r>
      <w:r>
        <w:rPr>
          <w:color w:val="000000" w:themeColor="text1"/>
          <w:highlight w:val="none"/>
          <w14:textFill>
            <w14:solidFill>
              <w14:schemeClr w14:val="tx1"/>
            </w14:solidFill>
          </w14:textFill>
        </w:rPr>
        <w:t>包：</w:t>
      </w:r>
      <w:r>
        <w:rPr>
          <w:rFonts w:hint="eastAsia"/>
          <w:color w:val="000000" w:themeColor="text1"/>
          <w:highlight w:val="none"/>
          <w:lang w:val="en-US" w:eastAsia="zh-CN"/>
          <w14:textFill>
            <w14:solidFill>
              <w14:schemeClr w14:val="tx1"/>
            </w14:solidFill>
          </w14:textFill>
        </w:rPr>
        <w:t>30000元；</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四、供应商资格要求（实质性要求）</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（一）供应商应具备《中华人民共和国政府采购法》第二十二条第一款规定的条件，提供以下材料：</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 营业执照副本或事业单位法人证书或民办非企业单位登记证书或社会团体法人登记证书或基金会法人登记证书扫描件或自然人的身份证明扫描件。</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财务状况报告等相关材料：</w:t>
      </w:r>
    </w:p>
    <w:p>
      <w:pPr>
        <w:pStyle w:val="69"/>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A.经第三方会计师事务所审计的2022年度财务报告扫描件。</w:t>
      </w:r>
    </w:p>
    <w:p>
      <w:pPr>
        <w:pStyle w:val="69"/>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 具有良好的商业信誉和健全的财务会计制度的书面声明。</w:t>
      </w:r>
    </w:p>
    <w:p>
      <w:pPr>
        <w:pStyle w:val="69"/>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注：A、B两项提供任意一项均可。</w:t>
      </w:r>
    </w:p>
    <w:p>
      <w:pPr>
        <w:pStyle w:val="69"/>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 依法缴纳税收和社会保障资金的书面声明。</w:t>
      </w:r>
    </w:p>
    <w:p>
      <w:pPr>
        <w:pStyle w:val="69"/>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 提交响应文件截止日前3年在经营活动中没有重大违法记录的书面声明（截至提交响应文件截止日成立不足3年的供应商可提供自成立以来无重大违法记录的书面声明）</w:t>
      </w:r>
    </w:p>
    <w:p>
      <w:pPr>
        <w:pStyle w:val="69"/>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 提交具备履行合同所必需的设备和专业技术能力证明材料。</w:t>
      </w:r>
    </w:p>
    <w:p>
      <w:pPr>
        <w:pStyle w:val="69"/>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（二）本项目不接受联合体参与。</w:t>
      </w:r>
    </w:p>
    <w:p>
      <w:pPr>
        <w:pStyle w:val="69"/>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（三）本项目专门面向中小企业采购 ，提供《中小企业声明函》。</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五、项目需要落实的政府采购政策</w:t>
      </w:r>
    </w:p>
    <w:p>
      <w:pPr>
        <w:pStyle w:val="69"/>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w:t>
      </w:r>
      <w:r>
        <w:rPr>
          <w:rFonts w:hint="eastAsia"/>
          <w:color w:val="000000" w:themeColor="text1"/>
          <w:highlight w:val="none"/>
          <w14:textFill>
            <w14:solidFill>
              <w14:schemeClr w14:val="tx1"/>
            </w14:solidFill>
          </w14:textFill>
        </w:rPr>
        <w:t>本项目专门面向中小企业采购。</w:t>
      </w:r>
    </w:p>
    <w:p>
      <w:pPr>
        <w:pStyle w:val="69"/>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（二）根据财政部发布的《关于政府采购支持监狱企业发展有关问题的通知》规定，</w:t>
      </w:r>
      <w:r>
        <w:rPr>
          <w:rFonts w:ascii="Arial" w:hAnsi="Arial" w:cs="Arial"/>
          <w:color w:val="000000" w:themeColor="text1"/>
          <w:highlight w:val="none"/>
          <w14:textFill>
            <w14:solidFill>
              <w14:schemeClr w14:val="tx1"/>
            </w14:solidFill>
          </w14:textFill>
        </w:rPr>
        <w:t>监狱企业视同小微企业</w:t>
      </w:r>
      <w:r>
        <w:rPr>
          <w:color w:val="000000" w:themeColor="text1"/>
          <w:highlight w:val="none"/>
          <w14:textFill>
            <w14:solidFill>
              <w14:schemeClr w14:val="tx1"/>
            </w14:solidFill>
          </w14:textFill>
        </w:rPr>
        <w:t>。</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（三）根据财政部、民政部、中国残疾人联合会发布的《关于促进残疾人就业政府采购政策的通知》规定，残疾人福利性单位视同小微企业。</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中小微企业以供应商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以上政策不重复享受。</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按照《财政部关于在政府采购活动中查询及使用信用记录有关问题的通知》（财库〔2016〕125号）的要求，根据谈判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六、获取单一来源采购文件时间、方式</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（一）获取单一来源采购文件时间：2023年</w:t>
      </w:r>
      <w:r>
        <w:rPr>
          <w:rFonts w:hint="eastAsia"/>
          <w:color w:val="000000" w:themeColor="text1"/>
          <w:highlight w:val="none"/>
          <w:lang w:val="en-US" w:eastAsia="zh-CN"/>
          <w14:textFill>
            <w14:solidFill>
              <w14:schemeClr w14:val="tx1"/>
            </w14:solidFill>
          </w14:textFill>
        </w:rPr>
        <w:t>10</w:t>
      </w:r>
      <w:r>
        <w:rPr>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31</w:t>
      </w:r>
      <w:r>
        <w:rPr>
          <w:color w:val="000000" w:themeColor="text1"/>
          <w:highlight w:val="none"/>
          <w14:textFill>
            <w14:solidFill>
              <w14:schemeClr w14:val="tx1"/>
            </w14:solidFill>
          </w14:textFill>
        </w:rPr>
        <w:t>日至2023年</w:t>
      </w:r>
      <w:r>
        <w:rPr>
          <w:rFonts w:hint="eastAsia"/>
          <w:color w:val="000000" w:themeColor="text1"/>
          <w:highlight w:val="none"/>
          <w:lang w:val="en-US" w:eastAsia="zh-CN"/>
          <w14:textFill>
            <w14:solidFill>
              <w14:schemeClr w14:val="tx1"/>
            </w14:solidFill>
          </w14:textFill>
        </w:rPr>
        <w:t>11</w:t>
      </w:r>
      <w:r>
        <w:rPr>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w:t>
      </w:r>
      <w:r>
        <w:rPr>
          <w:color w:val="000000" w:themeColor="text1"/>
          <w:highlight w:val="none"/>
          <w14:textFill>
            <w14:solidFill>
              <w14:schemeClr w14:val="tx1"/>
            </w14:solidFill>
          </w14:textFill>
        </w:rPr>
        <w:t>日，每日9:00至17:00（北京时间，法定节假日除外）。</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（二）获取单一来源采购文件的方式：</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获取单一来源采购文件网址：使用天津市中环认证服务有限公司发出的CA数字证书（原天津市电子认证中心发出尚在有效期内的CA数字证书仍可使用）登录天津市政府采购中心网（网址：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"http://www.tjgpc.gov.cn" </w:instrText>
      </w:r>
      <w:r>
        <w:rPr>
          <w:color w:val="000000" w:themeColor="text1"/>
          <w:highlight w:val="none"/>
          <w14:textFill>
            <w14:solidFill>
              <w14:schemeClr w14:val="tx1"/>
            </w14:solidFill>
          </w14:textFill>
        </w:rPr>
        <w:fldChar w:fldCharType="separate"/>
      </w:r>
      <w:r>
        <w:rPr>
          <w:rStyle w:val="40"/>
          <w:rFonts w:hint="eastAsia"/>
          <w:color w:val="000000" w:themeColor="text1"/>
          <w:highlight w:val="none"/>
          <w14:textFill>
            <w14:solidFill>
              <w14:schemeClr w14:val="tx1"/>
            </w14:solidFill>
          </w14:textFill>
        </w:rPr>
        <w:t>http://tjgpc.zwfwb.tj.gov.cn</w:t>
      </w:r>
      <w:r>
        <w:rPr>
          <w:rStyle w:val="40"/>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）-“网上招投标”-“供应商登录”-“市级集采机构入口”</w:t>
      </w:r>
      <w:r>
        <w:rPr>
          <w:color w:val="000000" w:themeColor="text1"/>
          <w:highlight w:val="none"/>
          <w14:textFill>
            <w14:solidFill>
              <w14:schemeClr w14:val="tx1"/>
            </w14:solidFill>
          </w14:textFill>
        </w:rPr>
        <w:t>下载单一来源采购文件。</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供应商注册、</w:t>
      </w:r>
      <w:r>
        <w:rPr>
          <w:color w:val="000000" w:themeColor="text1"/>
          <w:highlight w:val="none"/>
          <w14:textFill>
            <w14:solidFill>
              <w14:schemeClr w14:val="tx1"/>
            </w14:solidFill>
          </w14:textFill>
        </w:rPr>
        <w:t>CA数字证书（USBKey）</w:t>
      </w:r>
      <w:r>
        <w:rPr>
          <w:rFonts w:hint="eastAsia"/>
          <w:color w:val="000000" w:themeColor="text1"/>
          <w:highlight w:val="none"/>
          <w14:textFill>
            <w14:solidFill>
              <w14:schemeClr w14:val="tx1"/>
            </w14:solidFill>
          </w14:textFill>
        </w:rPr>
        <w:t>领取、电子签章办理办法：</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（1）天津市政府采购中心网注册：登录天津市政府采购中心网（</w:t>
      </w:r>
      <w:r>
        <w:rPr>
          <w:color w:val="000000" w:themeColor="text1"/>
          <w:highlight w:val="none"/>
          <w14:textFill>
            <w14:solidFill>
              <w14:schemeClr w14:val="tx1"/>
            </w14:solidFill>
          </w14:textFill>
        </w:rPr>
        <w:t>http://tjgpc.zwfwb.tj.gov.cn</w:t>
      </w:r>
      <w:r>
        <w:rPr>
          <w:rFonts w:hint="eastAsia"/>
          <w:color w:val="000000" w:themeColor="text1"/>
          <w:highlight w:val="none"/>
          <w14:textFill>
            <w14:solidFill>
              <w14:schemeClr w14:val="tx1"/>
            </w14:solidFill>
          </w14:textFill>
        </w:rPr>
        <w:t>）首页点击“供应商注册”，填写相关内容。天津市政府采购中心注册窗口联系电话：</w:t>
      </w:r>
      <w:r>
        <w:rPr>
          <w:color w:val="000000" w:themeColor="text1"/>
          <w:highlight w:val="none"/>
          <w14:textFill>
            <w14:solidFill>
              <w14:schemeClr w14:val="tx1"/>
            </w14:solidFill>
          </w14:textFill>
        </w:rPr>
        <w:t>022-</w:t>
      </w:r>
      <w:r>
        <w:rPr>
          <w:rFonts w:hint="eastAsia"/>
          <w:color w:val="000000" w:themeColor="text1"/>
          <w:highlight w:val="none"/>
          <w14:textFill>
            <w14:solidFill>
              <w14:schemeClr w14:val="tx1"/>
            </w14:solidFill>
          </w14:textFill>
        </w:rPr>
        <w:t>24538316。</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（2）天津市政府采购网注册：登录天津市政府采购网（</w:t>
      </w:r>
      <w:r>
        <w:rPr>
          <w:color w:val="000000" w:themeColor="text1"/>
          <w:highlight w:val="none"/>
          <w14:textFill>
            <w14:solidFill>
              <w14:schemeClr w14:val="tx1"/>
            </w14:solidFill>
          </w14:textFill>
        </w:rPr>
        <w:t>http://tjgp.cz.tj.gov.cn/gys_login.jsp</w:t>
      </w:r>
      <w:r>
        <w:rPr>
          <w:rFonts w:hint="eastAsia"/>
          <w:color w:val="000000" w:themeColor="text1"/>
          <w:highlight w:val="none"/>
          <w14:textFill>
            <w14:solidFill>
              <w14:schemeClr w14:val="tx1"/>
            </w14:solidFill>
          </w14:textFill>
        </w:rPr>
        <w:t>）点击“申报注册”，完成网上注册。</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（3）CA数字证书（USBKey）领取及电子签章办理：参见天津市政府采购中心网（http://tjgpc.zwfwb.tj.gov.cn）--服务指南--供应商注册、领取CA数字证书（USBKey）及电子签章制章的流程。</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CA数字证书办理联系电话：400-0566-110或022-24538059。</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电子签章办理联系电话：022-24538059。</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（三）下载单一来源采购文件后如放弃谈判，请于网上应答截止时间之前取消报名。</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本项目不组织</w:t>
      </w:r>
      <w:r>
        <w:rPr>
          <w:color w:val="000000" w:themeColor="text1"/>
          <w:highlight w:val="none"/>
          <w14:textFill>
            <w14:solidFill>
              <w14:schemeClr w14:val="tx1"/>
            </w14:solidFill>
          </w14:textFill>
        </w:rPr>
        <w:t>踏勘现场</w:t>
      </w:r>
      <w:r>
        <w:rPr>
          <w:rFonts w:hint="eastAsia"/>
          <w:color w:val="000000" w:themeColor="text1"/>
          <w:highlight w:val="none"/>
          <w14:textFill>
            <w14:solidFill>
              <w14:schemeClr w14:val="tx1"/>
            </w14:solidFill>
          </w14:textFill>
        </w:rPr>
        <w:t>和答疑会</w:t>
      </w:r>
      <w:r>
        <w:rPr>
          <w:color w:val="000000" w:themeColor="text1"/>
          <w:highlight w:val="none"/>
          <w14:textFill>
            <w14:solidFill>
              <w14:schemeClr w14:val="tx1"/>
            </w14:solidFill>
          </w14:textFill>
        </w:rPr>
        <w:t>。</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七、网上应答时间</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2023年</w:t>
      </w:r>
      <w:r>
        <w:rPr>
          <w:rFonts w:hint="eastAsia"/>
          <w:color w:val="000000" w:themeColor="text1"/>
          <w:highlight w:val="none"/>
          <w:lang w:val="en-US" w:eastAsia="zh-CN"/>
          <w14:textFill>
            <w14:solidFill>
              <w14:schemeClr w14:val="tx1"/>
            </w14:solidFill>
          </w14:textFill>
        </w:rPr>
        <w:t>10</w:t>
      </w:r>
      <w:r>
        <w:rPr>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31</w:t>
      </w:r>
      <w:r>
        <w:rPr>
          <w:color w:val="000000" w:themeColor="text1"/>
          <w:highlight w:val="none"/>
          <w14:textFill>
            <w14:solidFill>
              <w14:schemeClr w14:val="tx1"/>
            </w14:solidFill>
          </w14:textFill>
        </w:rPr>
        <w:t>日9:00至2023年</w:t>
      </w:r>
      <w:r>
        <w:rPr>
          <w:rFonts w:hint="eastAsia"/>
          <w:color w:val="000000" w:themeColor="text1"/>
          <w:highlight w:val="none"/>
          <w:lang w:val="en-US" w:eastAsia="zh-CN"/>
          <w14:textFill>
            <w14:solidFill>
              <w14:schemeClr w14:val="tx1"/>
            </w14:solidFill>
          </w14:textFill>
        </w:rPr>
        <w:t>11</w:t>
      </w:r>
      <w:r>
        <w:rPr>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3</w:t>
      </w:r>
      <w:r>
        <w:rPr>
          <w:color w:val="000000" w:themeColor="text1"/>
          <w:highlight w:val="none"/>
          <w14:textFill>
            <w14:solidFill>
              <w14:schemeClr w14:val="tx1"/>
            </w14:solidFill>
          </w14:textFill>
        </w:rPr>
        <w:t>日</w:t>
      </w: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w:t>
      </w:r>
      <w:r>
        <w:rPr>
          <w:color w:val="000000" w:themeColor="text1"/>
          <w:highlight w:val="none"/>
          <w14:textFill>
            <w14:solidFill>
              <w14:schemeClr w14:val="tx1"/>
            </w14:solidFill>
          </w14:textFill>
        </w:rPr>
        <w:t>0，使用天津市中环认证服务有限公司发出的CA数字证书（原天津市电子认证中心发出尚在有效期内的CA数字证书仍可使用）</w:t>
      </w:r>
      <w:r>
        <w:rPr>
          <w:rFonts w:hint="eastAsia"/>
          <w:color w:val="000000" w:themeColor="text1"/>
          <w:highlight w:val="none"/>
          <w14:textFill>
            <w14:solidFill>
              <w14:schemeClr w14:val="tx1"/>
            </w14:solidFill>
          </w14:textFill>
        </w:rPr>
        <w:t>登陆天津市政府采购中心网（网址：http://tjgpc.zwfwb.tj.gov.cn）-“网上招投标”-“供应商登录”-“市级集采机构入口”</w:t>
      </w:r>
      <w:r>
        <w:rPr>
          <w:color w:val="000000" w:themeColor="text1"/>
          <w:highlight w:val="none"/>
          <w14:textFill>
            <w14:solidFill>
              <w14:schemeClr w14:val="tx1"/>
            </w14:solidFill>
          </w14:textFill>
        </w:rPr>
        <w:t>进行应答</w:t>
      </w:r>
      <w:r>
        <w:rPr>
          <w:rFonts w:hint="eastAsia"/>
          <w:color w:val="000000" w:themeColor="text1"/>
          <w:highlight w:val="none"/>
          <w14:textFill>
            <w14:solidFill>
              <w14:schemeClr w14:val="tx1"/>
            </w14:solidFill>
          </w14:textFill>
        </w:rPr>
        <w:t>并提交</w:t>
      </w:r>
      <w:r>
        <w:rPr>
          <w:color w:val="000000" w:themeColor="text1"/>
          <w:highlight w:val="none"/>
          <w14:textFill>
            <w14:solidFill>
              <w14:schemeClr w14:val="tx1"/>
            </w14:solidFill>
          </w14:textFill>
        </w:rPr>
        <w:t>。</w:t>
      </w:r>
    </w:p>
    <w:p>
      <w:pPr>
        <w:pStyle w:val="69"/>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网上应答帮助链接：http://tjgpc.zwfwb.tj.gov.cn/webInfo/getWebInfoListForwebInfoClass.do?fkWebInfoclassId=W008</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八、</w:t>
      </w:r>
      <w:r>
        <w:rPr>
          <w:rFonts w:hint="eastAsia"/>
          <w:color w:val="000000" w:themeColor="text1"/>
          <w:highlight w:val="none"/>
          <w14:textFill>
            <w14:solidFill>
              <w14:schemeClr w14:val="tx1"/>
            </w14:solidFill>
          </w14:textFill>
        </w:rPr>
        <w:t>递交响应文件截止</w:t>
      </w:r>
      <w:r>
        <w:rPr>
          <w:color w:val="000000" w:themeColor="text1"/>
          <w:highlight w:val="none"/>
          <w14:textFill>
            <w14:solidFill>
              <w14:schemeClr w14:val="tx1"/>
            </w14:solidFill>
          </w14:textFill>
        </w:rPr>
        <w:t>时间</w:t>
      </w:r>
      <w:r>
        <w:rPr>
          <w:rFonts w:hint="eastAsia"/>
          <w:color w:val="000000" w:themeColor="text1"/>
          <w:highlight w:val="none"/>
          <w14:textFill>
            <w14:solidFill>
              <w14:schemeClr w14:val="tx1"/>
            </w14:solidFill>
          </w14:textFill>
        </w:rPr>
        <w:t>及方式</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w:t>
      </w:r>
      <w:r>
        <w:rPr>
          <w:rFonts w:hint="eastAsia"/>
          <w:color w:val="000000" w:themeColor="text1"/>
          <w:highlight w:val="none"/>
          <w14:textFill>
            <w14:solidFill>
              <w14:schemeClr w14:val="tx1"/>
            </w14:solidFill>
          </w14:textFill>
        </w:rPr>
        <w:t>递交响应文件截止</w:t>
      </w:r>
      <w:r>
        <w:rPr>
          <w:color w:val="000000" w:themeColor="text1"/>
          <w:highlight w:val="none"/>
          <w14:textFill>
            <w14:solidFill>
              <w14:schemeClr w14:val="tx1"/>
            </w14:solidFill>
          </w14:textFill>
        </w:rPr>
        <w:t>时间：2023年</w:t>
      </w:r>
      <w:r>
        <w:rPr>
          <w:rFonts w:hint="eastAsia"/>
          <w:color w:val="000000" w:themeColor="text1"/>
          <w:highlight w:val="none"/>
          <w:lang w:val="en-US" w:eastAsia="zh-CN"/>
          <w14:textFill>
            <w14:solidFill>
              <w14:schemeClr w14:val="tx1"/>
            </w14:solidFill>
          </w14:textFill>
        </w:rPr>
        <w:t>11</w:t>
      </w:r>
      <w:r>
        <w:rPr>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3</w:t>
      </w:r>
      <w:r>
        <w:rPr>
          <w:color w:val="000000" w:themeColor="text1"/>
          <w:highlight w:val="none"/>
          <w14:textFill>
            <w14:solidFill>
              <w14:schemeClr w14:val="tx1"/>
            </w14:solidFill>
          </w14:textFill>
        </w:rPr>
        <w:t>日</w:t>
      </w: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w:t>
      </w:r>
      <w:r>
        <w:rPr>
          <w:color w:val="000000" w:themeColor="text1"/>
          <w:highlight w:val="none"/>
          <w14:textFill>
            <w14:solidFill>
              <w14:schemeClr w14:val="tx1"/>
            </w14:solidFill>
          </w14:textFill>
        </w:rPr>
        <w:t>0</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递交响应文件</w:t>
      </w:r>
      <w:r>
        <w:rPr>
          <w:color w:val="000000" w:themeColor="text1"/>
          <w:highlight w:val="none"/>
          <w14:textFill>
            <w14:solidFill>
              <w14:schemeClr w14:val="tx1"/>
            </w14:solidFill>
          </w14:textFill>
        </w:rPr>
        <w:t>截止时间前</w:t>
      </w:r>
      <w:r>
        <w:rPr>
          <w:rFonts w:hint="eastAsia"/>
          <w:color w:val="000000" w:themeColor="text1"/>
          <w:highlight w:val="none"/>
          <w14:textFill>
            <w14:solidFill>
              <w14:schemeClr w14:val="tx1"/>
            </w14:solidFill>
          </w14:textFill>
        </w:rPr>
        <w:t>提交网上应答并上传加盖供应商电子签章的PDF格式电子响应文件（以通过天津公共资源电子签章客户端正确读取签章信息为准）</w:t>
      </w:r>
      <w:r>
        <w:rPr>
          <w:color w:val="000000" w:themeColor="text1"/>
          <w:highlight w:val="none"/>
          <w14:textFill>
            <w14:solidFill>
              <w14:schemeClr w14:val="tx1"/>
            </w14:solidFill>
          </w14:textFill>
        </w:rPr>
        <w:t>方为有效</w:t>
      </w:r>
      <w:r>
        <w:rPr>
          <w:rFonts w:hint="eastAsia"/>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w:t>
      </w:r>
      <w:r>
        <w:rPr>
          <w:rFonts w:hint="eastAsia"/>
          <w:color w:val="000000" w:themeColor="text1"/>
          <w:highlight w:val="none"/>
          <w14:textFill>
            <w14:solidFill>
              <w14:schemeClr w14:val="tx1"/>
            </w14:solidFill>
          </w14:textFill>
        </w:rPr>
        <w:t>递交响应文件方式</w:t>
      </w:r>
      <w:r>
        <w:rPr>
          <w:color w:val="000000" w:themeColor="text1"/>
          <w:highlight w:val="none"/>
          <w14:textFill>
            <w14:solidFill>
              <w14:schemeClr w14:val="tx1"/>
            </w14:solidFill>
          </w14:textFill>
        </w:rPr>
        <w:t>：本项目采用网上电子</w:t>
      </w:r>
      <w:r>
        <w:rPr>
          <w:rFonts w:hint="eastAsia"/>
          <w:color w:val="000000" w:themeColor="text1"/>
          <w:highlight w:val="none"/>
          <w14:textFill>
            <w14:solidFill>
              <w14:schemeClr w14:val="tx1"/>
            </w14:solidFill>
          </w14:textFill>
        </w:rPr>
        <w:t>递交响应文件</w:t>
      </w:r>
      <w:r>
        <w:rPr>
          <w:color w:val="000000" w:themeColor="text1"/>
          <w:highlight w:val="none"/>
          <w14:textFill>
            <w14:solidFill>
              <w14:schemeClr w14:val="tx1"/>
            </w14:solidFill>
          </w14:textFill>
        </w:rPr>
        <w:t>方式，供应商须于</w:t>
      </w:r>
      <w:r>
        <w:rPr>
          <w:rFonts w:hint="eastAsia"/>
          <w:color w:val="000000" w:themeColor="text1"/>
          <w:highlight w:val="none"/>
          <w14:textFill>
            <w14:solidFill>
              <w14:schemeClr w14:val="tx1"/>
            </w14:solidFill>
          </w14:textFill>
        </w:rPr>
        <w:t>递交响应文件</w:t>
      </w:r>
      <w:r>
        <w:rPr>
          <w:color w:val="000000" w:themeColor="text1"/>
          <w:highlight w:val="none"/>
          <w14:textFill>
            <w14:solidFill>
              <w14:schemeClr w14:val="tx1"/>
            </w14:solidFill>
          </w14:textFill>
        </w:rPr>
        <w:t>截止时间前使用天津市中环认证服务有限公司发出的CA数字证书（原天津市电子认证中心发出尚在有效期内的CA数字证书仍可使用）登陆</w:t>
      </w:r>
      <w:r>
        <w:rPr>
          <w:rFonts w:hint="eastAsia"/>
          <w:color w:val="000000" w:themeColor="text1"/>
          <w:highlight w:val="none"/>
          <w14:textFill>
            <w14:solidFill>
              <w14:schemeClr w14:val="tx1"/>
            </w14:solidFill>
          </w14:textFill>
        </w:rPr>
        <w:t>天津市政府采购中心网（网址：http://tjgpc.zwfwb.tj.gov.cn）-“网上招投标”-“供应商登录”-“市级集采机构入口”提交网上应答并上传加盖供应商电子签章的PDF格式电子响应文件（以通过天津公共资源电子签章客户端正确读取签章信息为准）。</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九</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解密</w:t>
      </w:r>
      <w:r>
        <w:rPr>
          <w:color w:val="000000" w:themeColor="text1"/>
          <w:highlight w:val="none"/>
          <w14:textFill>
            <w14:solidFill>
              <w14:schemeClr w14:val="tx1"/>
            </w14:solidFill>
          </w14:textFill>
        </w:rPr>
        <w:t>时间及方式</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（一）解密时间：2023年</w:t>
      </w:r>
      <w:r>
        <w:rPr>
          <w:rFonts w:hint="eastAsia"/>
          <w:color w:val="000000" w:themeColor="text1"/>
          <w:highlight w:val="none"/>
          <w:lang w:val="en-US" w:eastAsia="zh-CN"/>
          <w14:textFill>
            <w14:solidFill>
              <w14:schemeClr w14:val="tx1"/>
            </w14:solidFill>
          </w14:textFill>
        </w:rPr>
        <w:t>11</w:t>
      </w:r>
      <w:r>
        <w:rPr>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3</w:t>
      </w:r>
      <w:r>
        <w:rPr>
          <w:color w:val="000000" w:themeColor="text1"/>
          <w:highlight w:val="none"/>
          <w14:textFill>
            <w14:solidFill>
              <w14:schemeClr w14:val="tx1"/>
            </w14:solidFill>
          </w14:textFill>
        </w:rPr>
        <w:t>日</w:t>
      </w: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w:t>
      </w:r>
      <w:r>
        <w:rPr>
          <w:color w:val="000000" w:themeColor="text1"/>
          <w:highlight w:val="none"/>
          <w14:textFill>
            <w14:solidFill>
              <w14:schemeClr w14:val="tx1"/>
            </w14:solidFill>
          </w14:textFill>
        </w:rPr>
        <w:t>0至</w:t>
      </w:r>
      <w:r>
        <w:rPr>
          <w:rFonts w:hint="eastAsia"/>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00</w:t>
      </w:r>
      <w:r>
        <w:rPr>
          <w:color w:val="000000" w:themeColor="text1"/>
          <w:highlight w:val="none"/>
          <w14:textFill>
            <w14:solidFill>
              <w14:schemeClr w14:val="tx1"/>
            </w14:solidFill>
          </w14:textFill>
        </w:rPr>
        <w:t>完成解密为有效响应。</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w:t>
      </w:r>
      <w:r>
        <w:rPr>
          <w:rFonts w:hint="eastAsia"/>
          <w:color w:val="000000" w:themeColor="text1"/>
          <w:highlight w:val="none"/>
          <w14:textFill>
            <w14:solidFill>
              <w14:schemeClr w14:val="tx1"/>
            </w14:solidFill>
          </w14:textFill>
        </w:rPr>
        <w:t>解密方式</w:t>
      </w:r>
      <w:r>
        <w:rPr>
          <w:color w:val="000000" w:themeColor="text1"/>
          <w:highlight w:val="none"/>
          <w14:textFill>
            <w14:solidFill>
              <w14:schemeClr w14:val="tx1"/>
            </w14:solidFill>
          </w14:textFill>
        </w:rPr>
        <w:t>：本项目采用网上</w:t>
      </w:r>
      <w:r>
        <w:rPr>
          <w:rFonts w:hint="eastAsia"/>
          <w:color w:val="000000" w:themeColor="text1"/>
          <w:highlight w:val="none"/>
          <w14:textFill>
            <w14:solidFill>
              <w14:schemeClr w14:val="tx1"/>
            </w14:solidFill>
          </w14:textFill>
        </w:rPr>
        <w:t>解密</w:t>
      </w:r>
      <w:r>
        <w:rPr>
          <w:color w:val="000000" w:themeColor="text1"/>
          <w:highlight w:val="none"/>
          <w14:textFill>
            <w14:solidFill>
              <w14:schemeClr w14:val="tx1"/>
            </w14:solidFill>
          </w14:textFill>
        </w:rPr>
        <w:t>方式，供应商须于</w:t>
      </w:r>
      <w:r>
        <w:rPr>
          <w:rFonts w:hint="eastAsia"/>
          <w:color w:val="000000" w:themeColor="text1"/>
          <w:highlight w:val="none"/>
          <w14:textFill>
            <w14:solidFill>
              <w14:schemeClr w14:val="tx1"/>
            </w14:solidFill>
          </w14:textFill>
        </w:rPr>
        <w:t>规定时间</w:t>
      </w:r>
      <w:r>
        <w:rPr>
          <w:color w:val="000000" w:themeColor="text1"/>
          <w:highlight w:val="none"/>
          <w14:textFill>
            <w14:solidFill>
              <w14:schemeClr w14:val="tx1"/>
            </w14:solidFill>
          </w14:textFill>
        </w:rPr>
        <w:t>内使用天津市中环认证服务有限公司发出的CA数字证书（原天津市电子认证中心发出尚在有效期内的CA数字证书仍可使用）</w:t>
      </w:r>
      <w:r>
        <w:rPr>
          <w:rFonts w:hint="eastAsia"/>
          <w:color w:val="000000" w:themeColor="text1"/>
          <w:highlight w:val="none"/>
          <w14:textFill>
            <w14:solidFill>
              <w14:schemeClr w14:val="tx1"/>
            </w14:solidFill>
          </w14:textFill>
        </w:rPr>
        <w:t>登陆天津市政府采购中心网（网址：http://tjgpc.zwfwb.tj.gov.cn）-“网上招投标”-“供应商登录”-“市级集采机构入口”</w:t>
      </w:r>
      <w:r>
        <w:rPr>
          <w:color w:val="000000" w:themeColor="text1"/>
          <w:highlight w:val="none"/>
          <w14:textFill>
            <w14:solidFill>
              <w14:schemeClr w14:val="tx1"/>
            </w14:solidFill>
          </w14:textFill>
        </w:rPr>
        <w:t>完成解密。</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w:t>
      </w:r>
      <w:r>
        <w:rPr>
          <w:color w:val="000000" w:themeColor="text1"/>
          <w:highlight w:val="none"/>
          <w14:textFill>
            <w14:solidFill>
              <w14:schemeClr w14:val="tx1"/>
            </w14:solidFill>
          </w14:textFill>
        </w:rPr>
        <w:t>、采购代理机构名称、地址</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联系人及联系方式</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w:t>
      </w:r>
      <w:r>
        <w:rPr>
          <w:rFonts w:hint="eastAsia"/>
          <w:color w:val="000000" w:themeColor="text1"/>
          <w:highlight w:val="none"/>
          <w14:textFill>
            <w14:solidFill>
              <w14:schemeClr w14:val="tx1"/>
            </w14:solidFill>
          </w14:textFill>
        </w:rPr>
        <w:t>采购代理机构名称：天津市政府采购中心</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（二）采购代理机构地址：天津市河东区红星路79号二楼</w:t>
      </w:r>
      <w:r>
        <w:rPr>
          <w:rFonts w:hint="eastAsia"/>
          <w:color w:val="000000" w:themeColor="text1"/>
          <w:highlight w:val="none"/>
          <w14:textFill>
            <w14:solidFill>
              <w14:schemeClr w14:val="tx1"/>
            </w14:solidFill>
          </w14:textFill>
        </w:rPr>
        <w:t>（邮编</w:t>
      </w:r>
      <w:r>
        <w:rPr>
          <w:color w:val="000000" w:themeColor="text1"/>
          <w:highlight w:val="none"/>
          <w14:textFill>
            <w14:solidFill>
              <w14:schemeClr w14:val="tx1"/>
            </w14:solidFill>
          </w14:textFill>
        </w:rPr>
        <w:t>：300161</w:t>
      </w:r>
      <w:r>
        <w:rPr>
          <w:rFonts w:hint="eastAsia"/>
          <w:color w:val="000000" w:themeColor="text1"/>
          <w:highlight w:val="none"/>
          <w14:textFill>
            <w14:solidFill>
              <w14:schemeClr w14:val="tx1"/>
            </w14:solidFill>
          </w14:textFill>
        </w:rPr>
        <w:t>）</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w:t>
      </w:r>
      <w:r>
        <w:rPr>
          <w:color w:val="000000" w:themeColor="text1"/>
          <w:highlight w:val="none"/>
          <w14:textFill>
            <w14:solidFill>
              <w14:schemeClr w14:val="tx1"/>
            </w14:solidFill>
          </w14:textFill>
        </w:rPr>
        <w:t>联系人：</w:t>
      </w:r>
      <w:r>
        <w:rPr>
          <w:rFonts w:hint="eastAsia"/>
          <w:color w:val="000000" w:themeColor="text1"/>
          <w:highlight w:val="none"/>
          <w:lang w:val="en-US" w:eastAsia="zh-CN"/>
          <w14:textFill>
            <w14:solidFill>
              <w14:schemeClr w14:val="tx1"/>
            </w14:solidFill>
          </w14:textFill>
        </w:rPr>
        <w:t>郭晓刚、杨光、鲁志强</w:t>
      </w:r>
      <w:r>
        <w:rPr>
          <w:color w:val="000000" w:themeColor="text1"/>
          <w:highlight w:val="none"/>
          <w14:textFill>
            <w14:solidFill>
              <w14:schemeClr w14:val="tx1"/>
            </w14:solidFill>
          </w14:textFill>
        </w:rPr>
        <w:t xml:space="preserve"> </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网址：http://tjgpc.zwfwb.tj.gov.cn</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w:t>
      </w:r>
      <w:r>
        <w:rPr>
          <w:color w:val="000000" w:themeColor="text1"/>
          <w:highlight w:val="none"/>
          <w14:textFill>
            <w14:solidFill>
              <w14:schemeClr w14:val="tx1"/>
            </w14:solidFill>
          </w14:textFill>
        </w:rPr>
        <w:t>对外办公时间：</w:t>
      </w:r>
      <w:r>
        <w:rPr>
          <w:rFonts w:hint="eastAsia"/>
          <w:color w:val="000000" w:themeColor="text1"/>
          <w:highlight w:val="none"/>
          <w14:textFill>
            <w14:solidFill>
              <w14:schemeClr w14:val="tx1"/>
            </w14:solidFill>
          </w14:textFill>
        </w:rPr>
        <w:t>法定</w:t>
      </w:r>
      <w:r>
        <w:rPr>
          <w:color w:val="000000" w:themeColor="text1"/>
          <w:highlight w:val="none"/>
          <w14:textFill>
            <w14:solidFill>
              <w14:schemeClr w14:val="tx1"/>
            </w14:solidFill>
          </w14:textFill>
        </w:rPr>
        <w:t>工作日9:00～12:00，14:00～1</w:t>
      </w: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:00</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（六）咨询服务电话</w:t>
      </w:r>
      <w:r>
        <w:rPr>
          <w:color w:val="000000" w:themeColor="text1"/>
          <w:highlight w:val="none"/>
          <w14:textFill>
            <w14:solidFill>
              <w14:schemeClr w14:val="tx1"/>
            </w14:solidFill>
          </w14:textFill>
        </w:rPr>
        <w:t>：</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 供应商注册咨询</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022-24538316</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CA证书和</w:t>
      </w:r>
      <w:r>
        <w:rPr>
          <w:color w:val="000000" w:themeColor="text1"/>
          <w:highlight w:val="none"/>
          <w14:textFill>
            <w14:solidFill>
              <w14:schemeClr w14:val="tx1"/>
            </w14:solidFill>
          </w14:textFill>
        </w:rPr>
        <w:t>电子签章办理咨询：</w:t>
      </w:r>
      <w:r>
        <w:rPr>
          <w:rFonts w:hint="eastAsia"/>
          <w:color w:val="000000" w:themeColor="text1"/>
          <w:highlight w:val="none"/>
          <w14:textFill>
            <w14:solidFill>
              <w14:schemeClr w14:val="tx1"/>
            </w14:solidFill>
          </w14:textFill>
        </w:rPr>
        <w:t>022-24538059</w:t>
      </w:r>
    </w:p>
    <w:p>
      <w:pPr>
        <w:pStyle w:val="69"/>
        <w:spacing w:line="360" w:lineRule="auto"/>
        <w:ind w:firstLine="480" w:firstLineChars="200"/>
        <w:jc w:val="both"/>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 采购文件咨询：022-2453</w:t>
      </w:r>
      <w:r>
        <w:rPr>
          <w:rFonts w:hint="eastAsia"/>
          <w:color w:val="000000" w:themeColor="text1"/>
          <w:highlight w:val="none"/>
          <w:lang w:val="en-US" w:eastAsia="zh-CN"/>
          <w14:textFill>
            <w14:solidFill>
              <w14:schemeClr w14:val="tx1"/>
            </w14:solidFill>
          </w14:textFill>
        </w:rPr>
        <w:t>8176</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 网上应答</w:t>
      </w:r>
      <w:r>
        <w:rPr>
          <w:rFonts w:hint="eastAsia"/>
          <w:color w:val="000000" w:themeColor="text1"/>
          <w:highlight w:val="none"/>
          <w14:textFill>
            <w14:solidFill>
              <w14:schemeClr w14:val="tx1"/>
            </w14:solidFill>
          </w14:textFill>
        </w:rPr>
        <w:t>及</w:t>
      </w:r>
      <w:r>
        <w:rPr>
          <w:color w:val="000000" w:themeColor="text1"/>
          <w:highlight w:val="none"/>
          <w14:textFill>
            <w14:solidFill>
              <w14:schemeClr w14:val="tx1"/>
            </w14:solidFill>
          </w14:textFill>
        </w:rPr>
        <w:t>解密操作咨询：022-24538309</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一</w:t>
      </w:r>
      <w:r>
        <w:rPr>
          <w:color w:val="000000" w:themeColor="text1"/>
          <w:highlight w:val="none"/>
          <w14:textFill>
            <w14:solidFill>
              <w14:schemeClr w14:val="tx1"/>
            </w14:solidFill>
          </w14:textFill>
        </w:rPr>
        <w:t>、采购人的名称、地址和联系方式</w:t>
      </w:r>
    </w:p>
    <w:p>
      <w:pPr>
        <w:pStyle w:val="69"/>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（一）采购人名称：</w:t>
      </w:r>
      <w:r>
        <w:rPr>
          <w:rFonts w:hint="eastAsia"/>
          <w:color w:val="000000" w:themeColor="text1"/>
          <w:highlight w:val="none"/>
          <w14:textFill>
            <w14:solidFill>
              <w14:schemeClr w14:val="tx1"/>
            </w14:solidFill>
          </w14:textFill>
        </w:rPr>
        <w:t>天津市公共资源交易中心（天津市政府采购中心）</w:t>
      </w:r>
      <w:r>
        <w:rPr>
          <w:color w:val="000000" w:themeColor="text1"/>
          <w:highlight w:val="none"/>
          <w14:textFill>
            <w14:solidFill>
              <w14:schemeClr w14:val="tx1"/>
            </w14:solidFill>
          </w14:textFill>
        </w:rPr>
        <w:t xml:space="preserve"> </w:t>
      </w:r>
    </w:p>
    <w:p>
      <w:pPr>
        <w:pStyle w:val="69"/>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（二）采购人地址：</w:t>
      </w:r>
      <w:r>
        <w:rPr>
          <w:rFonts w:hint="eastAsia"/>
          <w:color w:val="000000" w:themeColor="text1"/>
          <w:highlight w:val="none"/>
          <w14:textFill>
            <w14:solidFill>
              <w14:schemeClr w14:val="tx1"/>
            </w14:solidFill>
          </w14:textFill>
        </w:rPr>
        <w:t xml:space="preserve">天津市河东区红星路79号 </w:t>
      </w:r>
    </w:p>
    <w:p>
      <w:pPr>
        <w:pStyle w:val="69"/>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（三）采购人联系人：</w:t>
      </w:r>
      <w:r>
        <w:rPr>
          <w:rFonts w:hint="eastAsia"/>
          <w:color w:val="000000" w:themeColor="text1"/>
          <w:highlight w:val="none"/>
          <w14:textFill>
            <w14:solidFill>
              <w14:schemeClr w14:val="tx1"/>
            </w14:solidFill>
          </w14:textFill>
        </w:rPr>
        <w:t xml:space="preserve">李宗孚 </w:t>
      </w:r>
      <w:r>
        <w:rPr>
          <w:color w:val="000000" w:themeColor="text1"/>
          <w:highlight w:val="none"/>
          <w14:textFill>
            <w14:solidFill>
              <w14:schemeClr w14:val="tx1"/>
            </w14:solidFill>
          </w14:textFill>
        </w:rPr>
        <w:t xml:space="preserve"> </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（四）采购人联系电话：</w:t>
      </w:r>
      <w:r>
        <w:rPr>
          <w:rFonts w:hint="eastAsia"/>
          <w:color w:val="000000" w:themeColor="text1"/>
          <w:highlight w:val="none"/>
          <w:lang w:val="en-US" w:eastAsia="zh-CN"/>
          <w14:textFill>
            <w14:solidFill>
              <w14:schemeClr w14:val="tx1"/>
            </w14:solidFill>
          </w14:textFill>
        </w:rPr>
        <w:t>022-</w:t>
      </w:r>
      <w:r>
        <w:rPr>
          <w:rFonts w:hint="eastAsia"/>
          <w:color w:val="000000" w:themeColor="text1"/>
          <w:highlight w:val="none"/>
          <w14:textFill>
            <w14:solidFill>
              <w14:schemeClr w14:val="tx1"/>
            </w14:solidFill>
          </w14:textFill>
        </w:rPr>
        <w:t xml:space="preserve">24538388 </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、质疑方式</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应商认为采购文件、采购过程和采购结果使自己的权益受到损害的，可以在知道或者应知其权益受到损害之日起七个工作日内，以书面原件形式针对同一采购程序环节一次性提出质疑，否则不予受理。</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采购人质疑受理：</w:t>
      </w:r>
    </w:p>
    <w:p>
      <w:pPr>
        <w:pStyle w:val="69"/>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（一）采购人名称：</w:t>
      </w:r>
      <w:r>
        <w:rPr>
          <w:rFonts w:hint="eastAsia"/>
          <w:color w:val="000000" w:themeColor="text1"/>
          <w:highlight w:val="none"/>
          <w14:textFill>
            <w14:solidFill>
              <w14:schemeClr w14:val="tx1"/>
            </w14:solidFill>
          </w14:textFill>
        </w:rPr>
        <w:t>天津市公共资源交易中心（天津市政府采购中心）</w:t>
      </w:r>
      <w:r>
        <w:rPr>
          <w:color w:val="000000" w:themeColor="text1"/>
          <w:highlight w:val="none"/>
          <w14:textFill>
            <w14:solidFill>
              <w14:schemeClr w14:val="tx1"/>
            </w14:solidFill>
          </w14:textFill>
        </w:rPr>
        <w:t xml:space="preserve"> </w:t>
      </w:r>
    </w:p>
    <w:p>
      <w:pPr>
        <w:pStyle w:val="69"/>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（二）采购人地址：</w:t>
      </w:r>
      <w:r>
        <w:rPr>
          <w:rFonts w:hint="eastAsia"/>
          <w:color w:val="000000" w:themeColor="text1"/>
          <w:highlight w:val="none"/>
          <w14:textFill>
            <w14:solidFill>
              <w14:schemeClr w14:val="tx1"/>
            </w14:solidFill>
          </w14:textFill>
        </w:rPr>
        <w:t xml:space="preserve">天津市河东区红星路79号 </w:t>
      </w:r>
    </w:p>
    <w:p>
      <w:pPr>
        <w:pStyle w:val="69"/>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（三）采购人联系人：</w:t>
      </w:r>
      <w:r>
        <w:rPr>
          <w:rFonts w:hint="eastAsia"/>
          <w:color w:val="000000" w:themeColor="text1"/>
          <w:highlight w:val="none"/>
          <w14:textFill>
            <w14:solidFill>
              <w14:schemeClr w14:val="tx1"/>
            </w14:solidFill>
          </w14:textFill>
        </w:rPr>
        <w:t xml:space="preserve">李宗孚 </w:t>
      </w:r>
      <w:r>
        <w:rPr>
          <w:color w:val="000000" w:themeColor="text1"/>
          <w:highlight w:val="none"/>
          <w14:textFill>
            <w14:solidFill>
              <w14:schemeClr w14:val="tx1"/>
            </w14:solidFill>
          </w14:textFill>
        </w:rPr>
        <w:t xml:space="preserve"> </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（四）采购人联系电话：</w:t>
      </w:r>
      <w:r>
        <w:rPr>
          <w:rFonts w:hint="eastAsia"/>
          <w:color w:val="000000" w:themeColor="text1"/>
          <w:highlight w:val="none"/>
          <w:lang w:val="en-US" w:eastAsia="zh-CN"/>
          <w14:textFill>
            <w14:solidFill>
              <w14:schemeClr w14:val="tx1"/>
            </w14:solidFill>
          </w14:textFill>
        </w:rPr>
        <w:t>022-</w:t>
      </w:r>
      <w:r>
        <w:rPr>
          <w:rFonts w:hint="eastAsia"/>
          <w:color w:val="000000" w:themeColor="text1"/>
          <w:highlight w:val="none"/>
          <w14:textFill>
            <w14:solidFill>
              <w14:schemeClr w14:val="tx1"/>
            </w14:solidFill>
          </w14:textFill>
        </w:rPr>
        <w:t xml:space="preserve">24538388 </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三</w:t>
      </w:r>
      <w:r>
        <w:rPr>
          <w:color w:val="000000" w:themeColor="text1"/>
          <w:highlight w:val="none"/>
          <w14:textFill>
            <w14:solidFill>
              <w14:schemeClr w14:val="tx1"/>
            </w14:solidFill>
          </w14:textFill>
        </w:rPr>
        <w:t>、代理服务费</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本项目不收取代理服务费。</w:t>
      </w:r>
    </w:p>
    <w:p>
      <w:pPr>
        <w:pStyle w:val="69"/>
        <w:spacing w:line="360" w:lineRule="auto"/>
        <w:ind w:firstLine="480" w:firstLineChars="200"/>
        <w:jc w:val="both"/>
        <w:rPr>
          <w:color w:val="000000" w:themeColor="text1"/>
          <w:highlight w:val="none"/>
          <w14:textFill>
            <w14:solidFill>
              <w14:schemeClr w14:val="tx1"/>
            </w14:solidFill>
          </w14:textFill>
        </w:rPr>
      </w:pPr>
    </w:p>
    <w:p>
      <w:pPr>
        <w:pStyle w:val="69"/>
        <w:spacing w:line="360" w:lineRule="auto"/>
        <w:ind w:firstLine="480" w:firstLineChars="200"/>
        <w:jc w:val="both"/>
        <w:rPr>
          <w:color w:val="000000" w:themeColor="text1"/>
          <w:highlight w:val="none"/>
          <w14:textFill>
            <w14:solidFill>
              <w14:schemeClr w14:val="tx1"/>
            </w14:solidFill>
          </w14:textFill>
        </w:rPr>
      </w:pPr>
    </w:p>
    <w:p>
      <w:pPr>
        <w:pStyle w:val="69"/>
        <w:spacing w:line="360" w:lineRule="auto"/>
        <w:ind w:firstLine="480" w:firstLineChars="200"/>
        <w:jc w:val="both"/>
        <w:rPr>
          <w:color w:val="000000" w:themeColor="text1"/>
          <w:highlight w:val="none"/>
          <w14:textFill>
            <w14:solidFill>
              <w14:schemeClr w14:val="tx1"/>
            </w14:solidFill>
          </w14:textFill>
        </w:rPr>
      </w:pPr>
    </w:p>
    <w:p>
      <w:pPr>
        <w:pStyle w:val="69"/>
        <w:spacing w:line="360" w:lineRule="auto"/>
        <w:jc w:val="both"/>
        <w:rPr>
          <w:color w:val="000000" w:themeColor="text1"/>
          <w:highlight w:val="none"/>
          <w14:textFill>
            <w14:solidFill>
              <w14:schemeClr w14:val="tx1"/>
            </w14:solidFill>
          </w14:textFill>
        </w:rPr>
      </w:pPr>
    </w:p>
    <w:p>
      <w:pPr>
        <w:pStyle w:val="69"/>
        <w:spacing w:line="360" w:lineRule="auto"/>
        <w:jc w:val="right"/>
        <w:rPr>
          <w:b/>
          <w:bCs/>
          <w:color w:val="000000" w:themeColor="text1"/>
          <w:kern w:val="28"/>
          <w:sz w:val="32"/>
          <w:szCs w:val="32"/>
          <w:highlight w:val="none"/>
          <w14:textFill>
            <w14:solidFill>
              <w14:schemeClr w14:val="tx1"/>
            </w14:solidFill>
          </w14:textFill>
        </w:rPr>
      </w:pPr>
      <w:r>
        <w:rPr>
          <w:color w:val="000000" w:themeColor="text1"/>
          <w:highlight w:val="none"/>
          <w14:textFill>
            <w14:solidFill>
              <w14:schemeClr w14:val="tx1"/>
            </w14:solidFill>
          </w14:textFill>
        </w:rPr>
        <w:t>2023年</w:t>
      </w:r>
      <w:r>
        <w:rPr>
          <w:rFonts w:hint="eastAsia"/>
          <w:color w:val="000000" w:themeColor="text1"/>
          <w:highlight w:val="none"/>
          <w:lang w:val="en-US" w:eastAsia="zh-CN"/>
          <w14:textFill>
            <w14:solidFill>
              <w14:schemeClr w14:val="tx1"/>
            </w14:solidFill>
          </w14:textFill>
        </w:rPr>
        <w:t>13</w:t>
      </w:r>
      <w:r>
        <w:rPr>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31</w:t>
      </w:r>
      <w:r>
        <w:rPr>
          <w:color w:val="000000" w:themeColor="text1"/>
          <w:highlight w:val="none"/>
          <w14:textFill>
            <w14:solidFill>
              <w14:schemeClr w14:val="tx1"/>
            </w14:solidFill>
          </w14:textFill>
        </w:rPr>
        <w:t>日</w:t>
      </w:r>
    </w:p>
    <w:p>
      <w:pPr>
        <w:widowControl/>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pPr>
        <w:tabs>
          <w:tab w:val="left" w:pos="0"/>
        </w:tabs>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B．单一来源采购要求</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一、</w:t>
      </w:r>
      <w:r>
        <w:rPr>
          <w:color w:val="000000" w:themeColor="text1"/>
          <w:sz w:val="24"/>
          <w:szCs w:val="24"/>
          <w:highlight w:val="none"/>
          <w14:textFill>
            <w14:solidFill>
              <w14:schemeClr w14:val="tx1"/>
            </w14:solidFill>
          </w14:textFill>
        </w:rPr>
        <w:t>技术要求</w:t>
      </w:r>
    </w:p>
    <w:p>
      <w:pPr>
        <w:autoSpaceDE w:val="0"/>
        <w:autoSpaceDN w:val="0"/>
        <w:adjustRightIn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（一）具体需求详见本部分项目需求书。</w:t>
      </w:r>
    </w:p>
    <w:p>
      <w:pPr>
        <w:autoSpaceDE w:val="0"/>
        <w:autoSpaceDN w:val="0"/>
        <w:adjustRightInd w:val="0"/>
        <w:spacing w:line="360" w:lineRule="auto"/>
        <w:ind w:firstLine="480" w:firstLineChars="200"/>
        <w:rPr>
          <w:color w:val="000000" w:themeColor="text1"/>
          <w:sz w:val="24"/>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（二）</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须承诺所提供的服务、人员及设备符合相关国家强制性规定。</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（三）本项目不接受赠品或者与采购无关的其他商品、服务，</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亦不得以采购人要求实施前述馈赠、回扣等行为。</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二、供应商实施能力</w:t>
      </w:r>
    </w:p>
    <w:p>
      <w:pPr>
        <w:autoSpaceDE w:val="0"/>
        <w:autoSpaceDN w:val="0"/>
        <w:adjustRightIn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完全按照以下要求提供与本项目规模及内容相当且已完成的实施经历，提供的证明材料均不得遮挡涂黑。</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（一）合同</w:t>
      </w:r>
      <w:r>
        <w:rPr>
          <w:rFonts w:hint="eastAsia"/>
          <w:color w:val="000000" w:themeColor="text1"/>
          <w:sz w:val="24"/>
          <w:szCs w:val="24"/>
          <w:highlight w:val="none"/>
          <w14:textFill>
            <w14:solidFill>
              <w14:schemeClr w14:val="tx1"/>
            </w14:solidFill>
          </w14:textFill>
        </w:rPr>
        <w:t>扫描件</w:t>
      </w:r>
      <w:r>
        <w:rPr>
          <w:color w:val="000000" w:themeColor="text1"/>
          <w:sz w:val="24"/>
          <w:szCs w:val="24"/>
          <w:highlight w:val="none"/>
          <w14:textFill>
            <w14:solidFill>
              <w14:schemeClr w14:val="tx1"/>
            </w14:solidFill>
          </w14:textFill>
        </w:rPr>
        <w:t>。包括合同金额、买卖双方名称及盖章、合同清单。</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（二）验收报告</w:t>
      </w:r>
      <w:r>
        <w:rPr>
          <w:rFonts w:hint="eastAsia"/>
          <w:color w:val="000000" w:themeColor="text1"/>
          <w:sz w:val="24"/>
          <w:szCs w:val="24"/>
          <w:highlight w:val="none"/>
          <w14:textFill>
            <w14:solidFill>
              <w14:schemeClr w14:val="tx1"/>
            </w14:solidFill>
          </w14:textFill>
        </w:rPr>
        <w:t>扫描</w:t>
      </w:r>
      <w:r>
        <w:rPr>
          <w:color w:val="000000" w:themeColor="text1"/>
          <w:sz w:val="24"/>
          <w:szCs w:val="24"/>
          <w:highlight w:val="none"/>
          <w14:textFill>
            <w14:solidFill>
              <w14:schemeClr w14:val="tx1"/>
            </w14:solidFill>
          </w14:textFill>
        </w:rPr>
        <w:t>件或用户出具的成功履行合同的相关证明材料。</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三、商务要求</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（一）报价要求</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1. </w:t>
      </w:r>
      <w:r>
        <w:rPr>
          <w:rFonts w:hint="eastAsia"/>
          <w:color w:val="000000" w:themeColor="text1"/>
          <w:sz w:val="24"/>
          <w:szCs w:val="24"/>
          <w:highlight w:val="none"/>
          <w14:textFill>
            <w14:solidFill>
              <w14:schemeClr w14:val="tx1"/>
            </w14:solidFill>
          </w14:textFill>
        </w:rPr>
        <w:t>谈判</w:t>
      </w:r>
      <w:r>
        <w:rPr>
          <w:color w:val="000000" w:themeColor="text1"/>
          <w:sz w:val="24"/>
          <w:szCs w:val="24"/>
          <w:highlight w:val="none"/>
          <w14:textFill>
            <w14:solidFill>
              <w14:schemeClr w14:val="tx1"/>
            </w14:solidFill>
          </w14:textFill>
        </w:rPr>
        <w:t>报价以人民币填列。</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2. </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的报价应包括：人员费用、</w:t>
      </w:r>
      <w:r>
        <w:rPr>
          <w:rFonts w:hint="eastAsia"/>
          <w:color w:val="000000" w:themeColor="text1"/>
          <w:sz w:val="24"/>
          <w:highlight w:val="none"/>
          <w14:textFill>
            <w14:solidFill>
              <w14:schemeClr w14:val="tx1"/>
            </w14:solidFill>
          </w14:textFill>
        </w:rPr>
        <w:t>维保费、</w:t>
      </w:r>
      <w:r>
        <w:rPr>
          <w:color w:val="000000" w:themeColor="text1"/>
          <w:sz w:val="24"/>
          <w:highlight w:val="none"/>
          <w14:textFill>
            <w14:solidFill>
              <w14:schemeClr w14:val="tx1"/>
            </w14:solidFill>
          </w14:textFill>
        </w:rPr>
        <w:t>管理费及税金等为完成单一来源采购文件规定全部任务所需的一切应有费用。</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 验收及相关费用由供应商负责。</w:t>
      </w:r>
    </w:p>
    <w:p>
      <w:pPr>
        <w:pStyle w:val="69"/>
        <w:spacing w:line="360" w:lineRule="auto"/>
        <w:ind w:firstLine="480" w:firstLineChars="200"/>
        <w:jc w:val="both"/>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（二）时间、地点要求：</w:t>
      </w:r>
    </w:p>
    <w:p>
      <w:pPr>
        <w:pStyle w:val="69"/>
        <w:spacing w:line="360" w:lineRule="auto"/>
        <w:ind w:firstLine="480" w:firstLineChars="200"/>
        <w:jc w:val="both"/>
        <w:rPr>
          <w:rFonts w:hint="eastAsia"/>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 时间要求：</w:t>
      </w:r>
      <w:r>
        <w:rPr>
          <w:rFonts w:hint="eastAsia"/>
          <w:color w:val="000000" w:themeColor="text1"/>
          <w:kern w:val="2"/>
          <w:highlight w:val="none"/>
          <w14:textFill>
            <w14:solidFill>
              <w14:schemeClr w14:val="tx1"/>
            </w14:solidFill>
          </w14:textFill>
        </w:rPr>
        <w:t>第一包合同履行期限：签订合同之日起45天内完成项目开发、测试工作</w:t>
      </w:r>
      <w:r>
        <w:rPr>
          <w:color w:val="000000" w:themeColor="text1"/>
          <w:kern w:val="2"/>
          <w:highlight w:val="none"/>
          <w14:textFill>
            <w14:solidFill>
              <w14:schemeClr w14:val="tx1"/>
            </w14:solidFill>
          </w14:textFill>
        </w:rPr>
        <w:t>（特殊情况以合同为准）</w:t>
      </w:r>
      <w:r>
        <w:rPr>
          <w:rFonts w:hint="eastAsia"/>
          <w:color w:val="000000" w:themeColor="text1"/>
          <w:kern w:val="2"/>
          <w:highlight w:val="none"/>
          <w14:textFill>
            <w14:solidFill>
              <w14:schemeClr w14:val="tx1"/>
            </w14:solidFill>
          </w14:textFill>
        </w:rPr>
        <w:t>；</w:t>
      </w:r>
    </w:p>
    <w:p>
      <w:pPr>
        <w:pStyle w:val="69"/>
        <w:spacing w:line="360" w:lineRule="auto"/>
        <w:ind w:firstLine="480" w:firstLineChars="200"/>
        <w:jc w:val="both"/>
        <w:rPr>
          <w:rFonts w:hint="eastAsia"/>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第二包合同履行期限：签订合同之日起2个月完成系统开完、部署及上线运行</w:t>
      </w:r>
      <w:r>
        <w:rPr>
          <w:color w:val="000000" w:themeColor="text1"/>
          <w:kern w:val="2"/>
          <w:highlight w:val="none"/>
          <w14:textFill>
            <w14:solidFill>
              <w14:schemeClr w14:val="tx1"/>
            </w14:solidFill>
          </w14:textFill>
        </w:rPr>
        <w:t>（特殊情况以合同为准）</w:t>
      </w:r>
      <w:r>
        <w:rPr>
          <w:rFonts w:hint="eastAsia"/>
          <w:color w:val="000000" w:themeColor="text1"/>
          <w:kern w:val="2"/>
          <w:highlight w:val="none"/>
          <w14:textFill>
            <w14:solidFill>
              <w14:schemeClr w14:val="tx1"/>
            </w14:solidFill>
          </w14:textFill>
        </w:rPr>
        <w:t>；</w:t>
      </w:r>
    </w:p>
    <w:p>
      <w:pPr>
        <w:pStyle w:val="69"/>
        <w:spacing w:line="360" w:lineRule="auto"/>
        <w:ind w:firstLine="480" w:firstLineChars="200"/>
        <w:jc w:val="both"/>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第三包合同履行期限：签订合同之日起45个工作日内完成项目开发、测试工作</w:t>
      </w:r>
      <w:r>
        <w:rPr>
          <w:color w:val="000000" w:themeColor="text1"/>
          <w:kern w:val="2"/>
          <w:highlight w:val="none"/>
          <w14:textFill>
            <w14:solidFill>
              <w14:schemeClr w14:val="tx1"/>
            </w14:solidFill>
          </w14:textFill>
        </w:rPr>
        <w:t>（特殊情况以合同为准）。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2. </w:t>
      </w:r>
      <w:r>
        <w:rPr>
          <w:rFonts w:hint="eastAsia"/>
          <w:color w:val="000000" w:themeColor="text1"/>
          <w:sz w:val="24"/>
          <w:szCs w:val="24"/>
          <w:highlight w:val="none"/>
          <w14:textFill>
            <w14:solidFill>
              <w14:schemeClr w14:val="tx1"/>
            </w14:solidFill>
          </w14:textFill>
        </w:rPr>
        <w:t>服务</w:t>
      </w:r>
      <w:r>
        <w:rPr>
          <w:color w:val="000000" w:themeColor="text1"/>
          <w:sz w:val="24"/>
          <w:szCs w:val="24"/>
          <w:highlight w:val="none"/>
          <w14:textFill>
            <w14:solidFill>
              <w14:schemeClr w14:val="tx1"/>
            </w14:solidFill>
          </w14:textFill>
        </w:rPr>
        <w:t>地点：</w:t>
      </w:r>
      <w:r>
        <w:rPr>
          <w:rFonts w:hint="eastAsia"/>
          <w:color w:val="000000" w:themeColor="text1"/>
          <w:sz w:val="24"/>
          <w:szCs w:val="24"/>
          <w:highlight w:val="none"/>
          <w:lang w:val="en-US" w:eastAsia="zh-CN"/>
          <w14:textFill>
            <w14:solidFill>
              <w14:schemeClr w14:val="tx1"/>
            </w14:solidFill>
          </w14:textFill>
        </w:rPr>
        <w:t>天津市河东区红星路79号</w:t>
      </w:r>
      <w:r>
        <w:rPr>
          <w:color w:val="000000" w:themeColor="text1"/>
          <w:sz w:val="24"/>
          <w:szCs w:val="24"/>
          <w:highlight w:val="none"/>
          <w14:textFill>
            <w14:solidFill>
              <w14:schemeClr w14:val="tx1"/>
            </w14:solidFill>
          </w14:textFill>
        </w:rPr>
        <w:t>（特殊情况以合同为准）。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（三）付款方式</w:t>
      </w:r>
    </w:p>
    <w:p>
      <w:pPr>
        <w:spacing w:line="360" w:lineRule="auto"/>
        <w:ind w:firstLine="480" w:firstLineChars="200"/>
        <w:rPr>
          <w:rFonts w:hint="eastAsia"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第一包：签订合同之日起15日内支付合同总额的70%，软件开发完成，上线运行，验收合格后15日内支付合同总额的30%（特殊情况以合同为准）；</w:t>
      </w:r>
    </w:p>
    <w:p>
      <w:pPr>
        <w:spacing w:line="360" w:lineRule="auto"/>
        <w:ind w:firstLine="480" w:firstLineChars="200"/>
        <w:rPr>
          <w:rFonts w:hint="eastAsia"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第二包：签订合同之日起15日内支付合同总额的70%，软件开发完成，上线运行，验收合格后15日内支付合同总额的30%（特殊情况以合同为准）；</w:t>
      </w:r>
    </w:p>
    <w:p>
      <w:pPr>
        <w:spacing w:line="360" w:lineRule="auto"/>
        <w:ind w:firstLine="480" w:firstLineChars="200"/>
        <w:rPr>
          <w:rFonts w:hint="eastAsia"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第三包：签订合同之日起15日内支付合同总额的70%，软件开发完成，上线运行，验收合格后15日内支付合同总额的30%（特殊情况以合同为准）。</w:t>
      </w:r>
    </w:p>
    <w:p>
      <w:pPr>
        <w:spacing w:line="360" w:lineRule="auto"/>
        <w:ind w:firstLine="480" w:firstLineChars="200"/>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（四）本项目谈判有效期为60天。</w:t>
      </w:r>
    </w:p>
    <w:p>
      <w:pPr>
        <w:spacing w:line="360" w:lineRule="auto"/>
        <w:ind w:firstLine="480" w:firstLineChars="200"/>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（五）谈判保证金和履约保证金</w:t>
      </w:r>
    </w:p>
    <w:p>
      <w:pPr>
        <w:spacing w:line="360" w:lineRule="auto"/>
        <w:ind w:firstLine="480" w:firstLineChars="200"/>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本项目不收取谈判保证金和履约保证金。</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四、响应文件的网上应答和提交</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供应商须按《邀请函》规定提交网上应答并上传加盖供应商电子签章的PDF格式电子响应文件（以通过天津公共资源电子签章客户端正确读取签章信息为准）。具体方式：</w:t>
      </w:r>
      <w:r>
        <w:rPr>
          <w:color w:val="000000" w:themeColor="text1"/>
          <w:highlight w:val="none"/>
          <w14:textFill>
            <w14:solidFill>
              <w14:schemeClr w14:val="tx1"/>
            </w14:solidFill>
          </w14:textFill>
        </w:rPr>
        <w:t>使用天津市中环认证服务有限公司发出的CA数字证书（原天津市电子认证中心发出尚在有效期内的CA数字证书仍可使用）登陆</w:t>
      </w:r>
      <w:r>
        <w:rPr>
          <w:rFonts w:hint="eastAsia"/>
          <w:color w:val="000000" w:themeColor="text1"/>
          <w:highlight w:val="none"/>
          <w14:textFill>
            <w14:solidFill>
              <w14:schemeClr w14:val="tx1"/>
            </w14:solidFill>
          </w14:textFill>
        </w:rPr>
        <w:t>天津市政府采购中心网（网址：http://tjgpc.zwfwb.tj.gov.cn）-“网上招投标”-“供应商登录”-“市级集采机构入口”提交网上应答并上传加盖供应商电子签章的PDF格式电子响应文件（以通过天津公共资源电子签章客户端正确读取签章信息为准）。如有需要，供应商可于工作时间且在单一来源采购文件规定的截止时间前到天津市河东区红星路79号天津市政府采购中心窗口完成上述操作。</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（一）制作和上传电子响应文件要求：</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供应商须下载天津市政府采购中心网-下载中心-《远程招电子签章客户端用户使用说明及安装程序》。</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供应商须按照单一来源采购文件的规定制作电子响应文件，对所需提供的一切纸质材料进行扫描后加入电子响应文件，按照《远程招电子签章客户端用户使用说明及安装程序》中《远程招电子签章客户端用户使用说明》规定的要求制作加盖供应商电子签章的PDF格式电子响应文件（以通过天津公共资源电子签章客户端正确读取签章信息为准），并于截止时间前上传至天津市政府采购中心招投标系统。</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（二）特别提醒：</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由于供应商网络接入速率不可控等网络传输风险，建议供应商在网上应答上传加盖电子签章的PDF文件后，对上传文件进行下载，核对文件完整性，如是否缺页少页、图片是否显示完整、签章是否有效等，并按照《远程招电子签章客户端用户使用说明》要求的文件检查方法进行检查，确保响应文件上传准确、有效。</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 供应商应保证电子响应文件清晰，便于识别，如因上传、扫描、格式等原因导致评审时受到影响，由供应商自行承担相应责任。</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 未按规定提交网上应答和上传加盖电子签章的电子响应文件的将被拒绝。</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 供应商须承诺接受电子的方式，并自行承担由此带来的废标、无效的风险。未按单一来源采购文件的规定提交网上应答和上传加盖供应商电子签章的PDF格式电子响应文件（以通过天津公共资源电子签章客户端正确读取签章信息为准）的将被拒绝。</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五、谈判程序</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（一）参加人员及要求</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 供应商须由</w:t>
      </w:r>
      <w:r>
        <w:rPr>
          <w:rFonts w:hint="eastAsia"/>
          <w:color w:val="000000" w:themeColor="text1"/>
          <w:sz w:val="24"/>
          <w:szCs w:val="24"/>
          <w:highlight w:val="none"/>
          <w14:textFill>
            <w14:solidFill>
              <w14:schemeClr w14:val="tx1"/>
            </w14:solidFill>
          </w14:textFill>
        </w:rPr>
        <w:t>其</w:t>
      </w:r>
      <w:r>
        <w:rPr>
          <w:color w:val="000000" w:themeColor="text1"/>
          <w:sz w:val="24"/>
          <w:szCs w:val="24"/>
          <w:highlight w:val="none"/>
          <w14:textFill>
            <w14:solidFill>
              <w14:schemeClr w14:val="tx1"/>
            </w14:solidFill>
          </w14:textFill>
        </w:rPr>
        <w:t>授权的本单位正式员工作为</w:t>
      </w:r>
      <w:r>
        <w:rPr>
          <w:rFonts w:hint="eastAsia"/>
          <w:color w:val="000000" w:themeColor="text1"/>
          <w:sz w:val="24"/>
          <w:szCs w:val="24"/>
          <w:highlight w:val="none"/>
          <w14:textFill>
            <w14:solidFill>
              <w14:schemeClr w14:val="tx1"/>
            </w14:solidFill>
          </w14:textFill>
        </w:rPr>
        <w:t>谈判代表</w:t>
      </w:r>
      <w:r>
        <w:rPr>
          <w:color w:val="000000" w:themeColor="text1"/>
          <w:sz w:val="24"/>
          <w:szCs w:val="24"/>
          <w:highlight w:val="none"/>
          <w14:textFill>
            <w14:solidFill>
              <w14:schemeClr w14:val="tx1"/>
            </w14:solidFill>
          </w14:textFill>
        </w:rPr>
        <w:t>人参加</w:t>
      </w:r>
      <w:r>
        <w:rPr>
          <w:rFonts w:hint="eastAsia"/>
          <w:color w:val="000000" w:themeColor="text1"/>
          <w:sz w:val="24"/>
          <w:szCs w:val="24"/>
          <w:highlight w:val="none"/>
          <w14:textFill>
            <w14:solidFill>
              <w14:schemeClr w14:val="tx1"/>
            </w14:solidFill>
          </w14:textFill>
        </w:rPr>
        <w:t>谈判</w:t>
      </w:r>
      <w:r>
        <w:rPr>
          <w:color w:val="000000" w:themeColor="text1"/>
          <w:sz w:val="24"/>
          <w:szCs w:val="24"/>
          <w:highlight w:val="none"/>
          <w14:textFill>
            <w14:solidFill>
              <w14:schemeClr w14:val="tx1"/>
            </w14:solidFill>
          </w14:textFill>
        </w:rPr>
        <w:t>，随时准备对</w:t>
      </w:r>
      <w:r>
        <w:rPr>
          <w:rFonts w:hint="eastAsia"/>
          <w:color w:val="000000" w:themeColor="text1"/>
          <w:sz w:val="24"/>
          <w:szCs w:val="24"/>
          <w:highlight w:val="none"/>
          <w14:textFill>
            <w14:solidFill>
              <w14:schemeClr w14:val="tx1"/>
            </w14:solidFill>
          </w14:textFill>
        </w:rPr>
        <w:t>单一来源采购人员</w:t>
      </w:r>
      <w:r>
        <w:rPr>
          <w:color w:val="000000" w:themeColor="text1"/>
          <w:sz w:val="24"/>
          <w:szCs w:val="24"/>
          <w:highlight w:val="none"/>
          <w14:textFill>
            <w14:solidFill>
              <w14:schemeClr w14:val="tx1"/>
            </w14:solidFill>
          </w14:textFill>
        </w:rPr>
        <w:t>的询问予以解答，该</w:t>
      </w:r>
      <w:r>
        <w:rPr>
          <w:rFonts w:hint="eastAsia"/>
          <w:color w:val="000000" w:themeColor="text1"/>
          <w:sz w:val="24"/>
          <w:szCs w:val="24"/>
          <w:highlight w:val="none"/>
          <w14:textFill>
            <w14:solidFill>
              <w14:schemeClr w14:val="tx1"/>
            </w14:solidFill>
          </w14:textFill>
        </w:rPr>
        <w:t>代表</w:t>
      </w:r>
      <w:r>
        <w:rPr>
          <w:color w:val="000000" w:themeColor="text1"/>
          <w:sz w:val="24"/>
          <w:szCs w:val="24"/>
          <w:highlight w:val="none"/>
          <w14:textFill>
            <w14:solidFill>
              <w14:schemeClr w14:val="tx1"/>
            </w14:solidFill>
          </w14:textFill>
        </w:rPr>
        <w:t>人在</w:t>
      </w:r>
      <w:r>
        <w:rPr>
          <w:rFonts w:hint="eastAsia"/>
          <w:color w:val="000000" w:themeColor="text1"/>
          <w:sz w:val="24"/>
          <w:szCs w:val="24"/>
          <w:highlight w:val="none"/>
          <w14:textFill>
            <w14:solidFill>
              <w14:schemeClr w14:val="tx1"/>
            </w14:solidFill>
          </w14:textFill>
        </w:rPr>
        <w:t>授权</w:t>
      </w:r>
      <w:r>
        <w:rPr>
          <w:color w:val="000000" w:themeColor="text1"/>
          <w:sz w:val="24"/>
          <w:szCs w:val="24"/>
          <w:highlight w:val="none"/>
          <w14:textFill>
            <w14:solidFill>
              <w14:schemeClr w14:val="tx1"/>
            </w14:solidFill>
          </w14:textFill>
        </w:rPr>
        <w:t>书上应标明有效联系方式，该方式须保留至本项目</w:t>
      </w:r>
      <w:r>
        <w:rPr>
          <w:rFonts w:hint="eastAsia"/>
          <w:color w:val="000000" w:themeColor="text1"/>
          <w:sz w:val="24"/>
          <w:szCs w:val="24"/>
          <w:highlight w:val="none"/>
          <w14:textFill>
            <w14:solidFill>
              <w14:schemeClr w14:val="tx1"/>
            </w14:solidFill>
          </w14:textFill>
        </w:rPr>
        <w:t>谈判</w:t>
      </w:r>
      <w:r>
        <w:rPr>
          <w:color w:val="000000" w:themeColor="text1"/>
          <w:sz w:val="24"/>
          <w:szCs w:val="24"/>
          <w:highlight w:val="none"/>
          <w14:textFill>
            <w14:solidFill>
              <w14:schemeClr w14:val="tx1"/>
            </w14:solidFill>
          </w14:textFill>
        </w:rPr>
        <w:t>或合同履行结束。</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2. </w:t>
      </w:r>
      <w:r>
        <w:rPr>
          <w:rFonts w:hint="eastAsia"/>
          <w:color w:val="000000" w:themeColor="text1"/>
          <w:sz w:val="24"/>
          <w:szCs w:val="24"/>
          <w:highlight w:val="none"/>
          <w14:textFill>
            <w14:solidFill>
              <w14:schemeClr w14:val="tx1"/>
            </w14:solidFill>
          </w14:textFill>
        </w:rPr>
        <w:t>谈判代表</w:t>
      </w:r>
      <w:r>
        <w:rPr>
          <w:color w:val="000000" w:themeColor="text1"/>
          <w:sz w:val="24"/>
          <w:szCs w:val="24"/>
          <w:highlight w:val="none"/>
          <w14:textFill>
            <w14:solidFill>
              <w14:schemeClr w14:val="tx1"/>
            </w14:solidFill>
          </w14:textFill>
        </w:rPr>
        <w:t>人参加谈判仪式时，须携带身份证或其他有效证件原件，以备查验。</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（二）资</w:t>
      </w:r>
      <w:r>
        <w:rPr>
          <w:rFonts w:hint="eastAsia"/>
          <w:color w:val="000000" w:themeColor="text1"/>
          <w:sz w:val="24"/>
          <w:szCs w:val="24"/>
          <w:highlight w:val="none"/>
          <w14:textFill>
            <w14:solidFill>
              <w14:schemeClr w14:val="tx1"/>
            </w14:solidFill>
          </w14:textFill>
        </w:rPr>
        <w:t>格</w:t>
      </w:r>
      <w:r>
        <w:rPr>
          <w:color w:val="000000" w:themeColor="text1"/>
          <w:sz w:val="24"/>
          <w:szCs w:val="24"/>
          <w:highlight w:val="none"/>
          <w14:textFill>
            <w14:solidFill>
              <w14:schemeClr w14:val="tx1"/>
            </w14:solidFill>
          </w14:textFill>
        </w:rPr>
        <w:t>审查</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根据邀请函要求，审查供应商</w:t>
      </w:r>
      <w:r>
        <w:rPr>
          <w:rFonts w:hint="eastAsia"/>
          <w:color w:val="000000" w:themeColor="text1"/>
          <w:sz w:val="24"/>
          <w:szCs w:val="24"/>
          <w:highlight w:val="none"/>
          <w14:textFill>
            <w14:solidFill>
              <w14:schemeClr w14:val="tx1"/>
            </w14:solidFill>
          </w14:textFill>
        </w:rPr>
        <w:t>递交的</w:t>
      </w:r>
      <w:r>
        <w:rPr>
          <w:color w:val="000000" w:themeColor="text1"/>
          <w:sz w:val="24"/>
          <w:szCs w:val="24"/>
          <w:highlight w:val="none"/>
          <w14:textFill>
            <w14:solidFill>
              <w14:schemeClr w14:val="tx1"/>
            </w14:solidFill>
          </w14:textFill>
        </w:rPr>
        <w:t>响应文件，不符合</w:t>
      </w:r>
      <w:r>
        <w:rPr>
          <w:rFonts w:hint="eastAsia"/>
          <w:color w:val="000000" w:themeColor="text1"/>
          <w:sz w:val="24"/>
          <w:szCs w:val="24"/>
          <w:highlight w:val="none"/>
          <w14:textFill>
            <w14:solidFill>
              <w14:schemeClr w14:val="tx1"/>
            </w14:solidFill>
          </w14:textFill>
        </w:rPr>
        <w:t>单一来源采购文件资格要求</w:t>
      </w:r>
      <w:r>
        <w:rPr>
          <w:color w:val="000000" w:themeColor="text1"/>
          <w:sz w:val="24"/>
          <w:szCs w:val="24"/>
          <w:highlight w:val="none"/>
          <w14:textFill>
            <w14:solidFill>
              <w14:schemeClr w14:val="tx1"/>
            </w14:solidFill>
          </w14:textFill>
        </w:rPr>
        <w:t>的供应商不得进入</w:t>
      </w:r>
      <w:r>
        <w:rPr>
          <w:rFonts w:hint="eastAsia"/>
          <w:color w:val="000000" w:themeColor="text1"/>
          <w:sz w:val="24"/>
          <w:szCs w:val="24"/>
          <w:highlight w:val="none"/>
          <w14:textFill>
            <w14:solidFill>
              <w14:schemeClr w14:val="tx1"/>
            </w14:solidFill>
          </w14:textFill>
        </w:rPr>
        <w:t>下一阶段</w:t>
      </w:r>
      <w:r>
        <w:rPr>
          <w:color w:val="000000" w:themeColor="text1"/>
          <w:sz w:val="24"/>
          <w:szCs w:val="24"/>
          <w:highlight w:val="none"/>
          <w14:textFill>
            <w14:solidFill>
              <w14:schemeClr w14:val="tx1"/>
            </w14:solidFill>
          </w14:textFill>
        </w:rPr>
        <w:t>谈判。</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三</w:t>
      </w:r>
      <w:r>
        <w:rPr>
          <w:color w:val="000000" w:themeColor="text1"/>
          <w:sz w:val="24"/>
          <w:szCs w:val="24"/>
          <w:highlight w:val="none"/>
          <w14:textFill>
            <w14:solidFill>
              <w14:schemeClr w14:val="tx1"/>
            </w14:solidFill>
          </w14:textFill>
        </w:rPr>
        <w:t>）符合性</w:t>
      </w:r>
      <w:r>
        <w:rPr>
          <w:rFonts w:hint="eastAsia"/>
          <w:color w:val="000000" w:themeColor="text1"/>
          <w:sz w:val="24"/>
          <w:szCs w:val="24"/>
          <w:highlight w:val="none"/>
          <w14:textFill>
            <w14:solidFill>
              <w14:schemeClr w14:val="tx1"/>
            </w14:solidFill>
          </w14:textFill>
        </w:rPr>
        <w:t>审查</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根据</w:t>
      </w:r>
      <w:r>
        <w:rPr>
          <w:rFonts w:hint="eastAsia"/>
          <w:color w:val="000000" w:themeColor="text1"/>
          <w:sz w:val="24"/>
          <w:szCs w:val="24"/>
          <w:highlight w:val="none"/>
          <w14:textFill>
            <w14:solidFill>
              <w14:schemeClr w14:val="tx1"/>
            </w14:solidFill>
          </w14:textFill>
        </w:rPr>
        <w:t>单一来源采购文件</w:t>
      </w:r>
      <w:r>
        <w:rPr>
          <w:color w:val="000000" w:themeColor="text1"/>
          <w:sz w:val="24"/>
          <w:szCs w:val="24"/>
          <w:highlight w:val="none"/>
          <w14:textFill>
            <w14:solidFill>
              <w14:schemeClr w14:val="tx1"/>
            </w14:solidFill>
          </w14:textFill>
        </w:rPr>
        <w:t>项目需求书要求，审查供应商</w:t>
      </w:r>
      <w:r>
        <w:rPr>
          <w:rFonts w:hint="eastAsia"/>
          <w:color w:val="000000" w:themeColor="text1"/>
          <w:sz w:val="24"/>
          <w:szCs w:val="24"/>
          <w:highlight w:val="none"/>
          <w14:textFill>
            <w14:solidFill>
              <w14:schemeClr w14:val="tx1"/>
            </w14:solidFill>
          </w14:textFill>
        </w:rPr>
        <w:t>响应文件</w:t>
      </w:r>
      <w:r>
        <w:rPr>
          <w:color w:val="000000" w:themeColor="text1"/>
          <w:sz w:val="24"/>
          <w:szCs w:val="24"/>
          <w:highlight w:val="none"/>
          <w14:textFill>
            <w14:solidFill>
              <w14:schemeClr w14:val="tx1"/>
            </w14:solidFill>
          </w14:textFill>
        </w:rPr>
        <w:t>内容与需求的符合性，不符合</w:t>
      </w:r>
      <w:r>
        <w:rPr>
          <w:rFonts w:hint="eastAsia"/>
          <w:color w:val="000000" w:themeColor="text1"/>
          <w:sz w:val="24"/>
          <w:szCs w:val="24"/>
          <w:highlight w:val="none"/>
          <w14:textFill>
            <w14:solidFill>
              <w14:schemeClr w14:val="tx1"/>
            </w14:solidFill>
          </w14:textFill>
        </w:rPr>
        <w:t>单一来源采购文件要求</w:t>
      </w:r>
      <w:r>
        <w:rPr>
          <w:color w:val="000000" w:themeColor="text1"/>
          <w:sz w:val="24"/>
          <w:szCs w:val="24"/>
          <w:highlight w:val="none"/>
          <w14:textFill>
            <w14:solidFill>
              <w14:schemeClr w14:val="tx1"/>
            </w14:solidFill>
          </w14:textFill>
        </w:rPr>
        <w:t>的供应商不得进入价格谈判阶段。</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 xml:space="preserve"> </w:t>
      </w:r>
      <w:r>
        <w:rPr>
          <w:bCs/>
          <w:color w:val="000000" w:themeColor="text1"/>
          <w:sz w:val="24"/>
          <w:highlight w:val="none"/>
          <w14:textFill>
            <w14:solidFill>
              <w14:schemeClr w14:val="tx1"/>
            </w14:solidFill>
          </w14:textFill>
        </w:rPr>
        <w:t>单一来源采购人员</w:t>
      </w:r>
      <w:r>
        <w:rPr>
          <w:bCs/>
          <w:color w:val="000000" w:themeColor="text1"/>
          <w:sz w:val="24"/>
          <w:szCs w:val="24"/>
          <w:highlight w:val="none"/>
          <w14:textFill>
            <w14:solidFill>
              <w14:schemeClr w14:val="tx1"/>
            </w14:solidFill>
          </w14:textFill>
        </w:rPr>
        <w:t>要依法独立评审，并对评审意见承担个人责任，对需要共同认定的事项存在争议的，按照少数服从多数的原则做出结论。持不同意见的成员应当在评审报告上签署不同意见并说明理由，否则视为同意。</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按照现行《财政部、国家发展改革委关于调整节能产品政府采购清单的通知》文件要求，对政府采购清单中的节能产品采用优先采购和强制采购的评标方法。</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w:t>
      </w:r>
      <w:r>
        <w:rPr>
          <w:bCs/>
          <w:color w:val="000000" w:themeColor="text1"/>
          <w:sz w:val="24"/>
          <w:highlight w:val="none"/>
          <w14:textFill>
            <w14:solidFill>
              <w14:schemeClr w14:val="tx1"/>
            </w14:solidFill>
          </w14:textFill>
        </w:rPr>
        <w:t>单一来源采购人员审查产品资质或检测报告等相关文件符合性时，应综合考虑行业特点、交易习惯、采购需求最本质原义等情况，而不应以响应文件中产品名称与谈判产品名称是否一致作为审查的标准。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四</w:t>
      </w:r>
      <w:r>
        <w:rPr>
          <w:color w:val="000000" w:themeColor="text1"/>
          <w:sz w:val="24"/>
          <w:szCs w:val="24"/>
          <w:highlight w:val="none"/>
          <w14:textFill>
            <w14:solidFill>
              <w14:schemeClr w14:val="tx1"/>
            </w14:solidFill>
          </w14:textFill>
        </w:rPr>
        <w:t>）价格谈判</w:t>
      </w:r>
    </w:p>
    <w:p>
      <w:pPr>
        <w:spacing w:line="360" w:lineRule="auto"/>
        <w:ind w:firstLine="480" w:firstLineChars="200"/>
        <w:rPr>
          <w:rFonts w:hint="eastAsia"/>
          <w:color w:val="000000" w:themeColor="text1"/>
          <w:sz w:val="24"/>
          <w:szCs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成交候选供应商产生办法：全部满足单一来源采购文件实质性要求，且符合采购需求、质量和服务相等的前提下，报价合理的供应商作为成交供应商</w:t>
      </w:r>
      <w:r>
        <w:rPr>
          <w:rFonts w:hint="eastAsia"/>
          <w:color w:val="000000" w:themeColor="text1"/>
          <w:sz w:val="24"/>
          <w:szCs w:val="24"/>
          <w:highlight w:val="none"/>
          <w:lang w:eastAsia="zh-CN"/>
          <w14:textFill>
            <w14:solidFill>
              <w14:schemeClr w14:val="tx1"/>
            </w14:solidFill>
          </w14:textFill>
        </w:rPr>
        <w:t>。</w:t>
      </w:r>
    </w:p>
    <w:p>
      <w:pPr>
        <w:spacing w:line="360" w:lineRule="auto"/>
        <w:ind w:firstLine="480" w:firstLineChars="200"/>
        <w:rPr>
          <w:color w:val="000000" w:themeColor="text1"/>
          <w:sz w:val="24"/>
          <w:szCs w:val="24"/>
          <w:highlight w:val="none"/>
          <w14:textFill>
            <w14:solidFill>
              <w14:schemeClr w14:val="tx1"/>
            </w14:solidFill>
          </w14:textFill>
        </w:rPr>
      </w:pPr>
      <w:bookmarkStart w:id="52" w:name="_GoBack"/>
      <w:bookmarkEnd w:id="52"/>
      <w:r>
        <w:rPr>
          <w:rFonts w:hint="eastAsia"/>
          <w:color w:val="000000" w:themeColor="text1"/>
          <w:sz w:val="24"/>
          <w:szCs w:val="24"/>
          <w:highlight w:val="none"/>
          <w14:textFill>
            <w14:solidFill>
              <w14:schemeClr w14:val="tx1"/>
            </w14:solidFill>
          </w14:textFill>
        </w:rPr>
        <w:t>六、成交通知</w:t>
      </w:r>
    </w:p>
    <w:p>
      <w:pPr>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成交公告发布同时，采购代理机构将通过天津市政府采购中心招投标系统以电子形式向成交供应商发出《成交通知书》（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成交通知书》一经发出即发生法律效力。</w:t>
      </w:r>
    </w:p>
    <w:p>
      <w:pPr>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七、签订合同</w:t>
      </w:r>
    </w:p>
    <w:p>
      <w:pPr>
        <w:spacing w:line="360" w:lineRule="auto"/>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一</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采购人与成交供应商应当在成交通知书发出之日起三十日内，按照单一来源采购文件确定的事项签订政府采购合同。合同文本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spacing w:line="360" w:lineRule="auto"/>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二</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单一来源采购文件、成交供应商的响应文件及其澄清文件等，均为签订合同的依据，且为合同的组成部分。</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八、注意事项</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（一）费用</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无论谈判过程中的作法和结果如何，参加谈判的供应商自行承担所有与参加谈判有关的全部费用。</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（二）保密</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在谈判过程中，有关单一来源采购文件的审查、澄清、评议以及有关授予合同的意向等一切情况不得透露给其他供应商或与评审工作无关的人员。</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（三）供应商须整包进行谈判。未经采购人同意，成交供应商不得转让合同，不得转包、分包或将项目肢解后分别向他人转让。若出现上述情形时，将按照相关法律法规执行。</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（四）供应商所投及交付产品中的软件应为正版软件，无知识产权纠纷。若出现知识产权纠纷等法律问题，由供应商自行承担。</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（五）解释权</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本次谈判的最终解释权归为政府采购组织机构，即天津市政府采购中心，当对一个问题有多种解释时以政府采购组织机构解释为准。</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本文件未做须知明示，而又有相关法律、法规规定的，政府采购组织机构将对此解释为依据有关法律、法规的规定。</w:t>
      </w:r>
      <w:r>
        <w:rPr>
          <w:rFonts w:ascii="宋体" w:hAnsi="宋体"/>
          <w:color w:val="000000" w:themeColor="text1"/>
          <w:sz w:val="24"/>
          <w:szCs w:val="24"/>
          <w:highlight w:val="none"/>
          <w14:textFill>
            <w14:solidFill>
              <w14:schemeClr w14:val="tx1"/>
            </w14:solidFill>
          </w14:textFill>
        </w:rPr>
        <w:br w:type="page"/>
      </w:r>
    </w:p>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项目需求书</w:t>
      </w:r>
    </w:p>
    <w:p>
      <w:pPr>
        <w:spacing w:line="360" w:lineRule="auto"/>
        <w:ind w:firstLine="482" w:firstLineChars="200"/>
        <w:outlineLvl w:val="0"/>
        <w:rPr>
          <w:rFonts w:hint="eastAsia" w:eastAsia="宋体"/>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第一包：</w:t>
      </w:r>
    </w:p>
    <w:p>
      <w:pPr>
        <w:spacing w:line="360" w:lineRule="auto"/>
        <w:ind w:firstLine="480"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一、项目背景</w:t>
      </w:r>
    </w:p>
    <w:p>
      <w:pPr>
        <w:spacing w:line="360" w:lineRule="auto"/>
        <w:ind w:firstLine="480" w:firstLineChars="200"/>
        <w:outlineLvl w:val="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为进一步深化税收征管改革，顺应数字经济时代发展潮流，降低征纳成本，国家税务总局推出了全面数字化的电子发票（以下简称全电发票）。全电发票是以可信身份认证体系和新型电子发票服务平台为依托，以标签化、要素化、去版式、授信制、赋码制为特征，以全领域、全环节、全要素电子化为运行模式的新型电子发票。</w:t>
      </w:r>
    </w:p>
    <w:p>
      <w:pPr>
        <w:spacing w:line="360" w:lineRule="auto"/>
        <w:ind w:firstLine="480" w:firstLineChars="200"/>
        <w:outlineLvl w:val="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在全电发票背景下，开具的发票以全电子方式存在，将对银行对账单和发票开具金额之间的对账工作带来不小的工作量，对账工作难度增加，需要开发专门的银企对账功能模块，以提高对账工作的准确度，提升工作质量和对账效率。</w:t>
      </w:r>
    </w:p>
    <w:p>
      <w:pPr>
        <w:spacing w:line="360" w:lineRule="auto"/>
        <w:ind w:firstLine="480"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为适应天津市税务改革形势发展的需要，满足天津市公共资源交易中心全电发票开具的需求，统一缴费系统将进行全面的升级开发，全面兼容纸质发票和全电发票，实现在系统中既能开具纸质增值税专用发票、电子普通发票，又能开具全电发票。在此基础上，开发银企对账功能，实现全电发票背景下的高效率、自动化对账。</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本项目属于</w:t>
      </w:r>
      <w:r>
        <w:rPr>
          <w:rFonts w:hint="eastAsia"/>
          <w:color w:val="000000" w:themeColor="text1"/>
          <w:sz w:val="24"/>
          <w:highlight w:val="none"/>
          <w:lang w:val="en-US" w:eastAsia="zh-CN"/>
          <w14:textFill>
            <w14:solidFill>
              <w14:schemeClr w14:val="tx1"/>
            </w14:solidFill>
          </w14:textFill>
        </w:rPr>
        <w:t>软件和信息技术服务</w:t>
      </w:r>
      <w:r>
        <w:rPr>
          <w:rFonts w:hint="eastAsia"/>
          <w:color w:val="000000" w:themeColor="text1"/>
          <w:sz w:val="24"/>
          <w:highlight w:val="none"/>
          <w14:textFill>
            <w14:solidFill>
              <w14:schemeClr w14:val="tx1"/>
            </w14:solidFill>
          </w14:textFill>
        </w:rPr>
        <w:t>行业</w:t>
      </w:r>
      <w:r>
        <w:rPr>
          <w:rFonts w:hint="eastAsia"/>
          <w:color w:val="000000" w:themeColor="text1"/>
          <w:sz w:val="24"/>
          <w:highlight w:val="none"/>
          <w:lang w:eastAsia="zh-CN"/>
          <w14:textFill>
            <w14:solidFill>
              <w14:schemeClr w14:val="tx1"/>
            </w14:solidFill>
          </w14:textFill>
        </w:rPr>
        <w:t>。</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二、需求分析</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（一）业务需求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按照国家税务总局和天津市税务局对全面数字化发票开具的要求，在当前统一缴费系统的基础上进行升级开发，具体包括：</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一是开发完成全电认证、人脸识别、全电发票开具（蓝字）、发票冲红、全电交付、全电发票查询、银企对账等全电发票相关功能，在采用更先进的技术、提高安全性和保密性的同时，降低征纳成本，满足国家税务总局对全电发票的全面数字化要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二是开发新的接口框架和对接功能，全面对接百旺通新的全电发票接口，满足全电发票接口规范和数据规范的要求；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三是修改统一缴费系统现有的工作流程和软件功能，使之既能开具纸质发票，也能开具全电发票，满足实际工作的需要。</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总体来说，系统将采用双轨制过渡方案，原有的功能和业务流程将延续纸质发票的功能，至到纸质发票开具完毕，相关业务终止；新开发的功能和业务流程，将提供全面的全电发票功能。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（二）功能需求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0" w:name="_Toc146647193"/>
      <w:r>
        <w:rPr>
          <w:rFonts w:hint="eastAsia"/>
          <w:color w:val="000000" w:themeColor="text1"/>
          <w:sz w:val="24"/>
          <w:highlight w:val="none"/>
          <w:lang w:val="en-US" w:eastAsia="zh-CN"/>
          <w14:textFill>
            <w14:solidFill>
              <w14:schemeClr w14:val="tx1"/>
            </w14:solidFill>
          </w14:textFill>
        </w:rPr>
        <w:t>1、开票信息管理</w:t>
      </w:r>
      <w:bookmarkEnd w:id="0"/>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提供满足全电发票数据规范的开票信息管理功能，由所有具有开票需求的人使用。具体功能包括列表、新增、修改等。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1" w:name="_Toc146647194"/>
      <w:r>
        <w:rPr>
          <w:rFonts w:hint="eastAsia"/>
          <w:color w:val="000000" w:themeColor="text1"/>
          <w:sz w:val="24"/>
          <w:highlight w:val="none"/>
          <w:lang w:val="en-US" w:eastAsia="zh-CN"/>
          <w14:textFill>
            <w14:solidFill>
              <w14:schemeClr w14:val="tx1"/>
            </w14:solidFill>
          </w14:textFill>
        </w:rPr>
        <w:t>2、订单管理</w:t>
      </w:r>
      <w:bookmarkEnd w:id="1"/>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修改当前的订单管理模块，增加补录开票信息功能，支持补录全电发票的开票信息；同时完善开票信息，增加与对账相关的字段信息的维护等。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2" w:name="_Toc146647195"/>
      <w:r>
        <w:rPr>
          <w:rFonts w:hint="eastAsia"/>
          <w:color w:val="000000" w:themeColor="text1"/>
          <w:sz w:val="24"/>
          <w:highlight w:val="none"/>
          <w:lang w:val="en-US" w:eastAsia="zh-CN"/>
          <w14:textFill>
            <w14:solidFill>
              <w14:schemeClr w14:val="tx1"/>
            </w14:solidFill>
          </w14:textFill>
        </w:rPr>
        <w:t>3、申请开票</w:t>
      </w:r>
      <w:bookmarkEnd w:id="2"/>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提供申请开票、修改申请信息、修改交付信息、申请换票、申请冲红等功能，满足全电发票背景下的开票申请业务需求。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3" w:name="_Toc146647196"/>
      <w:r>
        <w:rPr>
          <w:rFonts w:hint="eastAsia"/>
          <w:color w:val="000000" w:themeColor="text1"/>
          <w:sz w:val="24"/>
          <w:highlight w:val="none"/>
          <w:lang w:val="en-US" w:eastAsia="zh-CN"/>
          <w14:textFill>
            <w14:solidFill>
              <w14:schemeClr w14:val="tx1"/>
            </w14:solidFill>
          </w14:textFill>
        </w:rPr>
        <w:t>4、全电认证</w:t>
      </w:r>
      <w:bookmarkEnd w:id="3"/>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为了保持开票接口在税务局的登录状态，在调用业务接口前，需要完成全电认证。统一缴费系统需设计完备的接口调用处理机制，在每次业务接口调用失败时，自动判别失败原因。如需进行全电认证，则必须先完成认证后，再自动调用业务接口。</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4" w:name="_Toc146647197"/>
      <w:r>
        <w:rPr>
          <w:rFonts w:hint="eastAsia"/>
          <w:color w:val="000000" w:themeColor="text1"/>
          <w:sz w:val="24"/>
          <w:highlight w:val="none"/>
          <w:lang w:val="en-US" w:eastAsia="zh-CN"/>
          <w14:textFill>
            <w14:solidFill>
              <w14:schemeClr w14:val="tx1"/>
            </w14:solidFill>
          </w14:textFill>
        </w:rPr>
        <w:t>5、人脸识别</w:t>
      </w:r>
      <w:bookmarkEnd w:id="4"/>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人脸识别功能用于开票环节的开票人身份验证，即校验当前登录人是否为该企业备案开票人。系统提供人脸识别二维码，开票人需手持“天津税务APP”完成扫码，并在该APP上完成人脸识别过程后，再进入本系统的后续工作环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的身份身份鉴别需要支持被动扫码和主动扫码两种方式：开票过程中，如果税务局需要鉴别开票人的身份，那么自动弹出人脸识别二维码，提醒开票人完成人脸识别；也可主动点击生成人脸识别二维码，用户扫描二维码进行认证。</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5" w:name="_Toc146647198"/>
      <w:r>
        <w:rPr>
          <w:rFonts w:hint="eastAsia"/>
          <w:color w:val="000000" w:themeColor="text1"/>
          <w:sz w:val="24"/>
          <w:highlight w:val="none"/>
          <w:lang w:val="en-US" w:eastAsia="zh-CN"/>
          <w14:textFill>
            <w14:solidFill>
              <w14:schemeClr w14:val="tx1"/>
            </w14:solidFill>
          </w14:textFill>
        </w:rPr>
        <w:t>6、开票管理（蓝字发票）</w:t>
      </w:r>
      <w:bookmarkEnd w:id="5"/>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全电蓝字发票（正数发票）的顶层业务流程如下图所示：</w:t>
      </w:r>
    </w:p>
    <w:p>
      <w:pPr>
        <w:spacing w:before="60" w:after="156" w:afterLines="50" w:line="360" w:lineRule="auto"/>
        <w:ind w:firstLine="420"/>
        <w:rPr>
          <w:rFonts w:asciiTheme="minorEastAsia" w:hAnsiTheme="minorEastAsia"/>
          <w:color w:val="000000" w:themeColor="text1"/>
          <w:sz w:val="24"/>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drawing>
          <wp:inline distT="0" distB="0" distL="0" distR="0">
            <wp:extent cx="5271770" cy="1216660"/>
            <wp:effectExtent l="0" t="0" r="508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1770" cy="1216660"/>
                    </a:xfrm>
                    <a:prstGeom prst="rect">
                      <a:avLst/>
                    </a:prstGeom>
                    <a:noFill/>
                    <a:ln>
                      <a:noFill/>
                    </a:ln>
                  </pic:spPr>
                </pic:pic>
              </a:graphicData>
            </a:graphic>
          </wp:inline>
        </w:drawing>
      </w:r>
    </w:p>
    <w:p>
      <w:pPr>
        <w:spacing w:before="60" w:after="156" w:afterLines="50"/>
        <w:ind w:firstLine="480"/>
        <w:jc w:val="center"/>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图</w:t>
      </w:r>
      <w:r>
        <w:rPr>
          <w:rFonts w:asciiTheme="minorEastAsia" w:hAnsiTheme="minorEastAsia"/>
          <w:color w:val="000000" w:themeColor="text1"/>
          <w:sz w:val="24"/>
          <w:highlight w:val="none"/>
          <w14:textFill>
            <w14:solidFill>
              <w14:schemeClr w14:val="tx1"/>
            </w14:solidFill>
          </w14:textFill>
        </w:rPr>
        <w:t>1</w:t>
      </w:r>
      <w:r>
        <w:rPr>
          <w:rFonts w:hint="eastAsia" w:asciiTheme="minorEastAsia" w:hAnsiTheme="minorEastAsia"/>
          <w:color w:val="000000" w:themeColor="text1"/>
          <w:sz w:val="24"/>
          <w:highlight w:val="none"/>
          <w14:textFill>
            <w14:solidFill>
              <w14:schemeClr w14:val="tx1"/>
            </w14:solidFill>
          </w14:textFill>
        </w:rPr>
        <w:t>发票开具顶层业务流程示意图</w:t>
      </w:r>
    </w:p>
    <w:p>
      <w:pPr>
        <w:spacing w:before="60" w:after="156" w:afterLines="50" w:line="360" w:lineRule="auto"/>
        <w:ind w:firstLine="480" w:firstLineChars="200"/>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详细流程如下图所示：</w:t>
      </w:r>
    </w:p>
    <w:p>
      <w:pPr>
        <w:spacing w:before="60" w:after="60"/>
        <w:ind w:firstLine="420"/>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drawing>
          <wp:inline distT="0" distB="0" distL="0" distR="0">
            <wp:extent cx="5081905" cy="5955665"/>
            <wp:effectExtent l="0" t="0" r="4445" b="6985"/>
            <wp:docPr id="5" name="图片 5" descr="全电发票正数开具推送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全电发票正数开具推送流程"/>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081905" cy="5955665"/>
                    </a:xfrm>
                    <a:prstGeom prst="rect">
                      <a:avLst/>
                    </a:prstGeom>
                    <a:noFill/>
                    <a:ln>
                      <a:noFill/>
                    </a:ln>
                  </pic:spPr>
                </pic:pic>
              </a:graphicData>
            </a:graphic>
          </wp:inline>
        </w:drawing>
      </w:r>
    </w:p>
    <w:p>
      <w:pPr>
        <w:spacing w:before="60" w:after="156" w:afterLines="50"/>
        <w:ind w:firstLine="420"/>
        <w:jc w:val="center"/>
        <w:rPr>
          <w:rFonts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图</w:t>
      </w:r>
      <w:r>
        <w:rPr>
          <w:rFonts w:asciiTheme="minorEastAsia" w:hAnsiTheme="minorEastAsia"/>
          <w:color w:val="000000" w:themeColor="text1"/>
          <w:highlight w:val="none"/>
          <w14:textFill>
            <w14:solidFill>
              <w14:schemeClr w14:val="tx1"/>
            </w14:solidFill>
          </w14:textFill>
        </w:rPr>
        <w:t>2</w:t>
      </w:r>
      <w:r>
        <w:rPr>
          <w:rFonts w:hint="eastAsia" w:asciiTheme="minorEastAsia" w:hAnsiTheme="minorEastAsia"/>
          <w:color w:val="000000" w:themeColor="text1"/>
          <w:highlight w:val="none"/>
          <w14:textFill>
            <w14:solidFill>
              <w14:schemeClr w14:val="tx1"/>
            </w14:solidFill>
          </w14:textFill>
        </w:rPr>
        <w:t>全电发票开具（蓝字）详细流程图</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系统需包括蓝字发票的开具功能，支持全电普票、全电专票的开票功能，同时支持无申请开票、自行获取开票信息、退回申请等功能。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系统需支持合票功能，能将同一受票人的多次缴费记录合并开具为一张发票，减少业务工作量。</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6" w:name="_Toc146647199"/>
      <w:r>
        <w:rPr>
          <w:rFonts w:hint="eastAsia"/>
          <w:color w:val="000000" w:themeColor="text1"/>
          <w:sz w:val="24"/>
          <w:highlight w:val="none"/>
          <w:lang w:val="en-US" w:eastAsia="zh-CN"/>
          <w14:textFill>
            <w14:solidFill>
              <w14:schemeClr w14:val="tx1"/>
            </w14:solidFill>
          </w14:textFill>
        </w:rPr>
        <w:t>7、红字发票开具</w:t>
      </w:r>
      <w:bookmarkEnd w:id="6"/>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红字发票开具即全电发票冲红重开的主要流程如下图所示：</w:t>
      </w:r>
    </w:p>
    <w:p>
      <w:pPr>
        <w:spacing w:before="60" w:after="60"/>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drawing>
          <wp:inline distT="0" distB="0" distL="0" distR="0">
            <wp:extent cx="5279390" cy="5470525"/>
            <wp:effectExtent l="0" t="0" r="16510" b="158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9390" cy="5470525"/>
                    </a:xfrm>
                    <a:prstGeom prst="rect">
                      <a:avLst/>
                    </a:prstGeom>
                    <a:noFill/>
                    <a:ln>
                      <a:noFill/>
                    </a:ln>
                  </pic:spPr>
                </pic:pic>
              </a:graphicData>
            </a:graphic>
          </wp:inline>
        </w:drawing>
      </w:r>
    </w:p>
    <w:p>
      <w:pPr>
        <w:spacing w:before="60" w:after="156" w:afterLines="50"/>
        <w:ind w:firstLine="420"/>
        <w:jc w:val="center"/>
        <w:rPr>
          <w:rFonts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图</w:t>
      </w:r>
      <w:r>
        <w:rPr>
          <w:rFonts w:asciiTheme="minorEastAsia" w:hAnsiTheme="minorEastAsia"/>
          <w:color w:val="000000" w:themeColor="text1"/>
          <w:highlight w:val="none"/>
          <w14:textFill>
            <w14:solidFill>
              <w14:schemeClr w14:val="tx1"/>
            </w14:solidFill>
          </w14:textFill>
        </w:rPr>
        <w:t>3</w:t>
      </w:r>
      <w:r>
        <w:rPr>
          <w:rFonts w:hint="eastAsia" w:asciiTheme="minorEastAsia" w:hAnsiTheme="minorEastAsia"/>
          <w:color w:val="000000" w:themeColor="text1"/>
          <w:highlight w:val="none"/>
          <w14:textFill>
            <w14:solidFill>
              <w14:schemeClr w14:val="tx1"/>
            </w14:solidFill>
          </w14:textFill>
        </w:rPr>
        <w:t>全电发票冲红详细流程图</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红字发票开具的主要功能包括列表（含检索）、红字确认单申请、红字确认、红字发票开具、红字发票列表（含检索）等功能，支持红字发票开具的全流程业务；能以列表形式呈现所有的冲红发票，提供红字发票的检索和详细信息查看功能，并支持版式文件的检索、查看、下载功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发票冲红既可以由销方（天津市公共资源交易中心，以下简称中心）发起，也可以由购方（缴费主体）发起。系统需支持发票局部冲红的业务，购方在电子税务局中完成局部冲红后，系统能通过接口查询冲红结果，并完成原票与冲红发票的关联。</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统一缴费系统需在线上完成红字确认单状态的查询，并自动完成红字发票与原票（蓝字发票）的关联。</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7" w:name="_Toc146647200"/>
      <w:r>
        <w:rPr>
          <w:rFonts w:hint="eastAsia"/>
          <w:color w:val="000000" w:themeColor="text1"/>
          <w:sz w:val="24"/>
          <w:highlight w:val="none"/>
          <w:lang w:val="en-US" w:eastAsia="zh-CN"/>
          <w14:textFill>
            <w14:solidFill>
              <w14:schemeClr w14:val="tx1"/>
            </w14:solidFill>
          </w14:textFill>
        </w:rPr>
        <w:t>8、全电交付管理</w:t>
      </w:r>
      <w:bookmarkEnd w:id="7"/>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全电发票背景下，支持三种文件交付格式：XML、PDF、OFD，交付下载方可自主选择哪种格式。本系统将默认支持PDF格式文件。</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全电票的数据文件将自动发送至开票方和受票方的税务数字账户。同时，统一缴费系统可以根据实际需要，随时再次向缴费主体推送全电发票。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提供全电发票的归档功能。每次全电发票开具完成后，将PDF版式文件下载并保存到本地服务器，并支持全电发票的在线查询、下载等功能。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8" w:name="_Toc146647201"/>
      <w:r>
        <w:rPr>
          <w:rFonts w:hint="eastAsia"/>
          <w:color w:val="000000" w:themeColor="text1"/>
          <w:sz w:val="24"/>
          <w:highlight w:val="none"/>
          <w:lang w:val="en-US" w:eastAsia="zh-CN"/>
          <w14:textFill>
            <w14:solidFill>
              <w14:schemeClr w14:val="tx1"/>
            </w14:solidFill>
          </w14:textFill>
        </w:rPr>
        <w:t>9、全电发票查询</w:t>
      </w:r>
      <w:bookmarkEnd w:id="8"/>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全电发票查询通过调用【获取全电全票面数据】接口，查询发票的全票面数据，得到指定发票的全面数据信息；支持在线查询功能，数据源为在全电税务系统中的所有全电发票。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9" w:name="_Toc146647202"/>
      <w:r>
        <w:rPr>
          <w:rFonts w:hint="eastAsia"/>
          <w:color w:val="000000" w:themeColor="text1"/>
          <w:sz w:val="24"/>
          <w:highlight w:val="none"/>
          <w:lang w:val="en-US" w:eastAsia="zh-CN"/>
          <w14:textFill>
            <w14:solidFill>
              <w14:schemeClr w14:val="tx1"/>
            </w14:solidFill>
          </w14:textFill>
        </w:rPr>
        <w:t>10、参数设置</w:t>
      </w:r>
      <w:bookmarkEnd w:id="9"/>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对开票的基本参数进行更新升级，在确认原有功能的基础上，系统将支持全电发票开票相关的参数设置；在确保原有功能的基础上，使税收编码同步支持开具全电发票。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10" w:name="_Toc146647203"/>
      <w:r>
        <w:rPr>
          <w:rFonts w:hint="eastAsia"/>
          <w:color w:val="000000" w:themeColor="text1"/>
          <w:sz w:val="24"/>
          <w:highlight w:val="none"/>
          <w:lang w:val="en-US" w:eastAsia="zh-CN"/>
          <w14:textFill>
            <w14:solidFill>
              <w14:schemeClr w14:val="tx1"/>
            </w14:solidFill>
          </w14:textFill>
        </w:rPr>
        <w:t>11、统计分析</w:t>
      </w:r>
      <w:bookmarkEnd w:id="10"/>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对开具的发票进行统计分析，以图表形式和列表的形式呈现出来，支持全电普票、全电专票两种发票类型以及时间、缴费主体、采购方式等的搜索和统计。</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对发票交付情况进行统计，将已开具的所有类型发票（已交付/未交付），以图表形式和列表的形式呈现出来。支持全电普票、全电专票两种发票类型以及时间、缴费主体、采购方式等的搜索和统计。</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提供财务数据导出功能，在原有的基础上增加全电发票的相关数据。</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11" w:name="_Toc146647204"/>
      <w:r>
        <w:rPr>
          <w:rFonts w:hint="eastAsia"/>
          <w:color w:val="000000" w:themeColor="text1"/>
          <w:sz w:val="24"/>
          <w:highlight w:val="none"/>
          <w:lang w:val="en-US" w:eastAsia="zh-CN"/>
          <w14:textFill>
            <w14:solidFill>
              <w14:schemeClr w14:val="tx1"/>
            </w14:solidFill>
          </w14:textFill>
        </w:rPr>
        <w:t>12、银企对账</w:t>
      </w:r>
      <w:bookmarkEnd w:id="11"/>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包括对账单管理、明细对账（自动对账）、手工调账等功能，辅助业务人员快速完成银企对账工作，提高银企对账的准确性和对账工作的效率。</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对账单管理主要用于银行对账单列表和上传、修改、删除等功能；明细对账管理需对上传的银行对账单，运用合理的对账算法，自动完成明细对账，并能对对账结果进行查看和对比分析；手工调账使中心财务人员可以对未对账、已对账的数据进行手工调整。系统将记录调整人、调整时间、调整备注等必要信息。</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13、接口对接</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本次需要对接的接口共计11个，具体如下所示：</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12" w:name="_Toc146647212"/>
      <w:r>
        <w:rPr>
          <w:rFonts w:hint="eastAsia"/>
          <w:color w:val="000000" w:themeColor="text1"/>
          <w:sz w:val="24"/>
          <w:highlight w:val="none"/>
          <w:lang w:val="en-US" w:eastAsia="zh-CN"/>
          <w14:textFill>
            <w14:solidFill>
              <w14:schemeClr w14:val="tx1"/>
            </w14:solidFill>
          </w14:textFill>
        </w:rPr>
        <w:t>13.1红字确认单申请准备信息查询</w:t>
      </w:r>
      <w:bookmarkEnd w:id="12"/>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提供红字确认单申请准备信息查询功能。申请红字确认单前，可以通过该接口查询该红字确认单相关准备条件信息。</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13" w:name="_Toc146647213"/>
      <w:r>
        <w:rPr>
          <w:rFonts w:hint="eastAsia"/>
          <w:color w:val="000000" w:themeColor="text1"/>
          <w:sz w:val="24"/>
          <w:highlight w:val="none"/>
          <w:lang w:val="en-US" w:eastAsia="zh-CN"/>
          <w14:textFill>
            <w14:solidFill>
              <w14:schemeClr w14:val="tx1"/>
            </w14:solidFill>
          </w14:textFill>
        </w:rPr>
        <w:t>13.2红字确认单申请</w:t>
      </w:r>
      <w:bookmarkEnd w:id="13"/>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用于申请全电发票的红字确认单，可以先调用“红字确认单准备信息查询”接口后使用返回参数再调用申请接口。</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14" w:name="_Toc146647214"/>
      <w:r>
        <w:rPr>
          <w:rFonts w:hint="eastAsia"/>
          <w:color w:val="000000" w:themeColor="text1"/>
          <w:sz w:val="24"/>
          <w:highlight w:val="none"/>
          <w:lang w:val="en-US" w:eastAsia="zh-CN"/>
          <w14:textFill>
            <w14:solidFill>
              <w14:schemeClr w14:val="tx1"/>
            </w14:solidFill>
          </w14:textFill>
        </w:rPr>
        <w:t>13.3查询红字确认单详细信息</w:t>
      </w:r>
      <w:bookmarkEnd w:id="14"/>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用于查询全电发票红字确认单的详细信息，该接口也用于红字确认单申请后查询已经开具的红字发票的发票号码。</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15" w:name="_Toc146647215"/>
      <w:r>
        <w:rPr>
          <w:rFonts w:hint="eastAsia"/>
          <w:color w:val="000000" w:themeColor="text1"/>
          <w:sz w:val="24"/>
          <w:highlight w:val="none"/>
          <w:lang w:val="en-US" w:eastAsia="zh-CN"/>
          <w14:textFill>
            <w14:solidFill>
              <w14:schemeClr w14:val="tx1"/>
            </w14:solidFill>
          </w14:textFill>
        </w:rPr>
        <w:t>13.4红字确认单查询</w:t>
      </w:r>
      <w:bookmarkEnd w:id="15"/>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用于查询全电发票红字确认单，应用于红字发票开具，红字确认单确认管理等功能模块。</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16" w:name="_Toc146647216"/>
      <w:r>
        <w:rPr>
          <w:rFonts w:hint="eastAsia"/>
          <w:color w:val="000000" w:themeColor="text1"/>
          <w:sz w:val="24"/>
          <w:highlight w:val="none"/>
          <w:lang w:val="en-US" w:eastAsia="zh-CN"/>
          <w14:textFill>
            <w14:solidFill>
              <w14:schemeClr w14:val="tx1"/>
            </w14:solidFill>
          </w14:textFill>
        </w:rPr>
        <w:t>13.5红字确认单确认</w:t>
      </w:r>
      <w:bookmarkEnd w:id="16"/>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用于进行全电红字确认单的确认。</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17" w:name="_Toc146647217"/>
      <w:r>
        <w:rPr>
          <w:rFonts w:hint="eastAsia"/>
          <w:color w:val="000000" w:themeColor="text1"/>
          <w:sz w:val="24"/>
          <w:highlight w:val="none"/>
          <w:lang w:val="en-US" w:eastAsia="zh-CN"/>
          <w14:textFill>
            <w14:solidFill>
              <w14:schemeClr w14:val="tx1"/>
            </w14:solidFill>
          </w14:textFill>
        </w:rPr>
        <w:t>13.6异常红字确认单下载</w:t>
      </w:r>
      <w:bookmarkEnd w:id="17"/>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用于下载申请时发生异常的红字确认单。</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18" w:name="_Toc146647218"/>
      <w:r>
        <w:rPr>
          <w:rFonts w:hint="eastAsia"/>
          <w:color w:val="000000" w:themeColor="text1"/>
          <w:sz w:val="24"/>
          <w:highlight w:val="none"/>
          <w:lang w:val="en-US" w:eastAsia="zh-CN"/>
          <w14:textFill>
            <w14:solidFill>
              <w14:schemeClr w14:val="tx1"/>
            </w14:solidFill>
          </w14:textFill>
        </w:rPr>
        <w:t>13.7全电发票开具</w:t>
      </w:r>
      <w:bookmarkEnd w:id="18"/>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提供全电发票开具的核心接口功能。调用此接口前可先做全电认证及人脸识别，避免实人认证导致开具中断问题。</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19" w:name="_Toc146647219"/>
      <w:r>
        <w:rPr>
          <w:rFonts w:hint="eastAsia"/>
          <w:color w:val="000000" w:themeColor="text1"/>
          <w:sz w:val="24"/>
          <w:highlight w:val="none"/>
          <w:lang w:val="en-US" w:eastAsia="zh-CN"/>
          <w14:textFill>
            <w14:solidFill>
              <w14:schemeClr w14:val="tx1"/>
            </w14:solidFill>
          </w14:textFill>
        </w:rPr>
        <w:t>13.8人脸识别二维码</w:t>
      </w:r>
      <w:bookmarkEnd w:id="19"/>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提供获取人脸识别二维码，用户可以进行人脸识别功能。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20" w:name="_Toc146647220"/>
      <w:r>
        <w:rPr>
          <w:rFonts w:hint="eastAsia"/>
          <w:color w:val="000000" w:themeColor="text1"/>
          <w:sz w:val="24"/>
          <w:highlight w:val="none"/>
          <w:lang w:val="en-US" w:eastAsia="zh-CN"/>
          <w14:textFill>
            <w14:solidFill>
              <w14:schemeClr w14:val="tx1"/>
            </w14:solidFill>
          </w14:textFill>
        </w:rPr>
        <w:t>13.9获取全电全票面数据</w:t>
      </w:r>
      <w:bookmarkEnd w:id="20"/>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提供用于获取全电发票全票面数据的功能，即获取发票的全面详细数据。</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21" w:name="_Toc146647221"/>
      <w:r>
        <w:rPr>
          <w:rFonts w:hint="eastAsia"/>
          <w:color w:val="000000" w:themeColor="text1"/>
          <w:sz w:val="24"/>
          <w:highlight w:val="none"/>
          <w:lang w:val="en-US" w:eastAsia="zh-CN"/>
          <w14:textFill>
            <w14:solidFill>
              <w14:schemeClr w14:val="tx1"/>
            </w14:solidFill>
          </w14:textFill>
        </w:rPr>
        <w:t>13.10全电认证</w:t>
      </w:r>
      <w:bookmarkEnd w:id="21"/>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用于登录电子税务局和免密续活，在调用任何全电接口之前，需要先调用此接口。</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22" w:name="_Toc146647222"/>
      <w:r>
        <w:rPr>
          <w:rFonts w:hint="eastAsia"/>
          <w:color w:val="000000" w:themeColor="text1"/>
          <w:sz w:val="24"/>
          <w:highlight w:val="none"/>
          <w:lang w:val="en-US" w:eastAsia="zh-CN"/>
          <w14:textFill>
            <w14:solidFill>
              <w14:schemeClr w14:val="tx1"/>
            </w14:solidFill>
          </w14:textFill>
        </w:rPr>
        <w:t>13.11全电交付</w:t>
      </w:r>
      <w:bookmarkEnd w:id="22"/>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用于全电发票的手机短信和电子邮箱推送。</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23" w:name="_Toc146647223"/>
      <w:r>
        <w:rPr>
          <w:rFonts w:hint="eastAsia"/>
          <w:color w:val="000000" w:themeColor="text1"/>
          <w:sz w:val="24"/>
          <w:highlight w:val="none"/>
          <w:lang w:val="en-US" w:eastAsia="zh-CN"/>
          <w14:textFill>
            <w14:solidFill>
              <w14:schemeClr w14:val="tx1"/>
            </w14:solidFill>
          </w14:textFill>
        </w:rPr>
        <w:t>14、接口日志</w:t>
      </w:r>
      <w:bookmarkEnd w:id="23"/>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开发接口日志功能，每次调用百旺通接口时进行实时记录。</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接口日志需记录接口调用的时间、调用的接口名称、接口返回时间、接口返回数据等，在发生问题时通过接口日志，回溯查找问题原因。</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（三）数据需求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1、数据封装</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所有数据以json形式封装，包括请求数据和接口返回的数据。</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2、数据加密与解密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统一缴费系统对请求数据进行统一封装。所有请求数据须经过加密后才能进行传输，加密规范详见接口对接文档。</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返回数据须经过解密后，按照数据规范进行解析，并通过统一缴费系统的接口进行二次转换。</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（四）性能需求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在网络稳定的环境下，操作性界面单一操作的系统响应时间小于2秒；统计界面的系统响应时间小于5秒；</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 xml:space="preserve">系统并发访问用户数支持100以上的访问请求，动态支持水平扩展； </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页面及正文页的响应速度在2秒以内。单个用户登录页面的平均时间小于2秒，单个公告发布的平均时间小于4秒;</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支持初始数据量20万记录数以上，支持年数据量为100万记录数、10GB字节的数据量；</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系统提供7×24小时的连续运行，平均年故障时间＜4个小时，平均故障修复时间＜60分钟。</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（五）安全需求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系统的安全等级需符合《信息安全技术网络安全等级保护基本要求》（GB-T 22239-2019）中规定的第二级安全要求相关标准，建立与系统安全等级相匹配的身份鉴别、访问控制、安全审计、入侵防范、恶意代码防范、可信验证、数据完整性、数据备份恢复、剩余信息保护、个人信息保护功能。建成系统经检测不得存在《信息安全技术安全漏洞等级划分指南》（GB/T 30279-2013）规定的中危及以上安全漏洞。</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三、建设目标</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（一）业务目标</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通过在统一缴费系统中建设全新的全电发票模块，为业务部门提供全电发票的信息录入、发票开具、红字确认、全电交付的全流程功能，以及配套的参数设置、发票查询、统计分析等功能。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目前天津市公共资源交易中心（天津市政府采购中心）正在使用税控发票管理系统开具税控发票，根据2023年1月天津市税务局发布2023年1号文件《国家税务总局天津市税务局关于开展全面数字化的电子发票试点工作的公告》要求，需要进行系统升级后兼容“全电发票”。本次升级涉及新增票种，全电发票的开具、冲红、上传等流程与传统“税控发票”流程差异较大。需要采用“双轨制”过渡方案，完成全新的统一缴费系统升级，使之既支持纸质（专用）发票的填开，满足部分市场主体对纸质专票的需求；同时支持全电发票（全电普票+全电专票）的开具。</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通过开发专门的银企对账功能，实现大部分银行对账单和全电发票之间的自动关联，自动完成对账和核验工作；在自动对账基础上，为业务部门提供手工调账功能，实现全电发票背景下的高效率、高质量对账。</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（二）技术目标</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全电发票模块开发：开发全新的全电发票模块，包括信息录入、发票开具、红字确认、全电交付等功能，以支持新的全电发票和纸质专用发票。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系统升级和兼容性：对现有的统一缴费系统进行升级，确保其兼容新的全电发票，并与税控发票管理系统进行有效的数据交互。</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全电发票流程管理：实现全电发票的开具、冲红、上传等流程，并确保其与传统税控发票流程的无缝切换，包括处理流程的可视化和自动化。</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双轨制过渡方案：开发并实施双轨制过渡方案，以确保系统可以同时支持纸质发票和全电发票的开具，实现平稳过渡。</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银企对账自动化：开发银企对账功能，自动完成设定的对账和核验工作，以提高效率和减少错误；完成手工调账功能，对疑似情况和自动对账无法完成的记录进行人工操作。</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四、建设方案</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（一）建设原则</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兼容性原则：保持兼容性，确保新的全电发票系统能够无缝集成到现有的统一缴费系统中，实现纸质发票和全电发票的平稳过渡。</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安全性原则：数据安全性是首要任务。确保数据加密、访问控制、合规性和隐私保护，以满足法规和用户期望。</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稳定性和性能原则：系统应具备高稳定性，能够处理高负荷情况。优化性能，确保系统在长时间运行中保持高可用性。</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可伸缩性原则：系统应具备可伸缩性，以支持未来的扩展需求，以确保长期可持续性。</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合规性原则：确保项目满足法规和法律要求，包括税务法规、数据隐私法规和合规存储要求。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（二）设计依据</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按照2023年1月天津市税务局发布2023年1号文件《国家税务总局天津市税务局关于开展全面数字化的电子发票试点工作的公告》要求，结合中心开票的实际工作情况，开发全新的全电发票功能模块和接口，满足全电发票的开具需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 xml:space="preserve">（三）总体建设任务与分期建设内容 </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1、总体建设任务</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通过对统一缴费系统进行全电发票软件开发工作，实现全面支持纸质发票和全电发票的开具和管理，以满足市场需求和法规要求。同时，建设智能的银企对账功能，以提高对账效率和精度。</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2、分期建设内容：</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第一阶段：全电发票相关模块开发和修改</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详细修改和二次开发统一缴费系统的以下功能模块，以支持纸质发票和全电发票的开具：</w:t>
      </w:r>
    </w:p>
    <w:p>
      <w:pPr>
        <w:numPr>
          <w:ilvl w:val="0"/>
          <w:numId w:val="7"/>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开票信息管理</w:t>
      </w:r>
    </w:p>
    <w:p>
      <w:pPr>
        <w:numPr>
          <w:ilvl w:val="0"/>
          <w:numId w:val="7"/>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订单管理</w:t>
      </w:r>
    </w:p>
    <w:p>
      <w:pPr>
        <w:numPr>
          <w:ilvl w:val="0"/>
          <w:numId w:val="7"/>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申请开票</w:t>
      </w:r>
    </w:p>
    <w:p>
      <w:pPr>
        <w:numPr>
          <w:ilvl w:val="0"/>
          <w:numId w:val="7"/>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开票管理</w:t>
      </w:r>
    </w:p>
    <w:p>
      <w:pPr>
        <w:numPr>
          <w:ilvl w:val="0"/>
          <w:numId w:val="7"/>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参数设置</w:t>
      </w:r>
    </w:p>
    <w:p>
      <w:pPr>
        <w:numPr>
          <w:ilvl w:val="0"/>
          <w:numId w:val="7"/>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统计分析</w:t>
      </w:r>
    </w:p>
    <w:p>
      <w:pPr>
        <w:spacing w:before="60" w:after="156" w:afterLines="50" w:line="360" w:lineRule="auto"/>
        <w:ind w:firstLine="480" w:firstLineChars="200"/>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开发全新的全电发票开具功能模块，包括：</w:t>
      </w:r>
    </w:p>
    <w:p>
      <w:pPr>
        <w:numPr>
          <w:ilvl w:val="0"/>
          <w:numId w:val="8"/>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全电发票开具（蓝字）</w:t>
      </w:r>
    </w:p>
    <w:p>
      <w:pPr>
        <w:numPr>
          <w:ilvl w:val="0"/>
          <w:numId w:val="8"/>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红字发票开具</w:t>
      </w:r>
    </w:p>
    <w:p>
      <w:pPr>
        <w:numPr>
          <w:ilvl w:val="0"/>
          <w:numId w:val="8"/>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全电发票查询、版式文件查看</w:t>
      </w:r>
    </w:p>
    <w:p>
      <w:pPr>
        <w:numPr>
          <w:ilvl w:val="0"/>
          <w:numId w:val="8"/>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发票本地存储和下载</w:t>
      </w:r>
    </w:p>
    <w:p>
      <w:pPr>
        <w:numPr>
          <w:ilvl w:val="0"/>
          <w:numId w:val="8"/>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红字确认单申请管理</w:t>
      </w:r>
    </w:p>
    <w:p>
      <w:pPr>
        <w:numPr>
          <w:ilvl w:val="0"/>
          <w:numId w:val="8"/>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红字确认单管理</w:t>
      </w:r>
    </w:p>
    <w:p>
      <w:pPr>
        <w:numPr>
          <w:ilvl w:val="0"/>
          <w:numId w:val="8"/>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人脸识别</w:t>
      </w:r>
    </w:p>
    <w:p>
      <w:pPr>
        <w:numPr>
          <w:ilvl w:val="0"/>
          <w:numId w:val="8"/>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全电认证</w:t>
      </w:r>
    </w:p>
    <w:p>
      <w:pPr>
        <w:spacing w:line="360" w:lineRule="auto"/>
        <w:rPr>
          <w:rFonts w:asciiTheme="minorEastAsia" w:hAnsiTheme="minorEastAsia"/>
          <w:b/>
          <w:bCs/>
          <w:color w:val="000000" w:themeColor="text1"/>
          <w:sz w:val="28"/>
          <w:szCs w:val="28"/>
          <w:highlight w:val="none"/>
          <w14:textFill>
            <w14:solidFill>
              <w14:schemeClr w14:val="tx1"/>
            </w14:solidFill>
          </w14:textFill>
        </w:rPr>
      </w:pPr>
      <w:r>
        <w:rPr>
          <w:rFonts w:hint="eastAsia" w:asciiTheme="minorEastAsia" w:hAnsiTheme="minorEastAsia"/>
          <w:b/>
          <w:bCs/>
          <w:color w:val="000000" w:themeColor="text1"/>
          <w:sz w:val="28"/>
          <w:szCs w:val="28"/>
          <w:highlight w:val="none"/>
          <w14:textFill>
            <w14:solidFill>
              <w14:schemeClr w14:val="tx1"/>
            </w14:solidFill>
          </w14:textFill>
        </w:rPr>
        <w:t>第二阶段：接口对接功能开发</w:t>
      </w:r>
    </w:p>
    <w:p>
      <w:p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ab/>
      </w:r>
      <w:r>
        <w:rPr>
          <w:rFonts w:hint="eastAsia" w:asciiTheme="minorEastAsia" w:hAnsiTheme="minorEastAsia"/>
          <w:color w:val="000000" w:themeColor="text1"/>
          <w:sz w:val="24"/>
          <w:highlight w:val="none"/>
          <w14:textFill>
            <w14:solidFill>
              <w14:schemeClr w14:val="tx1"/>
            </w14:solidFill>
          </w14:textFill>
        </w:rPr>
        <w:t>开发全新的接口对接功能，实现与百旺通全电发票接口的对接，包括以下接口：</w:t>
      </w:r>
    </w:p>
    <w:p>
      <w:pPr>
        <w:numPr>
          <w:ilvl w:val="0"/>
          <w:numId w:val="9"/>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红字确认单申请准备信息查询</w:t>
      </w:r>
    </w:p>
    <w:p>
      <w:pPr>
        <w:numPr>
          <w:ilvl w:val="0"/>
          <w:numId w:val="9"/>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红字确认单申请</w:t>
      </w:r>
    </w:p>
    <w:p>
      <w:pPr>
        <w:numPr>
          <w:ilvl w:val="0"/>
          <w:numId w:val="9"/>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红字确认单详情查询</w:t>
      </w:r>
    </w:p>
    <w:p>
      <w:pPr>
        <w:numPr>
          <w:ilvl w:val="0"/>
          <w:numId w:val="9"/>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红字确认单撤销</w:t>
      </w:r>
    </w:p>
    <w:p>
      <w:pPr>
        <w:numPr>
          <w:ilvl w:val="0"/>
          <w:numId w:val="9"/>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红字确认单查询</w:t>
      </w:r>
    </w:p>
    <w:p>
      <w:pPr>
        <w:numPr>
          <w:ilvl w:val="0"/>
          <w:numId w:val="9"/>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红字确认单确认</w:t>
      </w:r>
    </w:p>
    <w:p>
      <w:pPr>
        <w:numPr>
          <w:ilvl w:val="0"/>
          <w:numId w:val="9"/>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单张发票查询</w:t>
      </w:r>
    </w:p>
    <w:p>
      <w:pPr>
        <w:numPr>
          <w:ilvl w:val="0"/>
          <w:numId w:val="9"/>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全电发票开具</w:t>
      </w:r>
    </w:p>
    <w:p>
      <w:pPr>
        <w:numPr>
          <w:ilvl w:val="0"/>
          <w:numId w:val="9"/>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人脸识别二维码</w:t>
      </w:r>
    </w:p>
    <w:p>
      <w:pPr>
        <w:numPr>
          <w:ilvl w:val="0"/>
          <w:numId w:val="9"/>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获取全电开票结果</w:t>
      </w:r>
    </w:p>
    <w:p>
      <w:pPr>
        <w:numPr>
          <w:ilvl w:val="0"/>
          <w:numId w:val="9"/>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获取全电全票面数据</w:t>
      </w:r>
    </w:p>
    <w:p>
      <w:pPr>
        <w:numPr>
          <w:ilvl w:val="0"/>
          <w:numId w:val="9"/>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全电认证</w:t>
      </w:r>
    </w:p>
    <w:p>
      <w:pPr>
        <w:numPr>
          <w:ilvl w:val="0"/>
          <w:numId w:val="9"/>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全电交付</w:t>
      </w:r>
    </w:p>
    <w:p>
      <w:pPr>
        <w:spacing w:line="360" w:lineRule="auto"/>
        <w:rPr>
          <w:rFonts w:asciiTheme="minorEastAsia" w:hAnsiTheme="minorEastAsia"/>
          <w:b/>
          <w:bCs/>
          <w:color w:val="000000" w:themeColor="text1"/>
          <w:sz w:val="28"/>
          <w:szCs w:val="28"/>
          <w:highlight w:val="none"/>
          <w14:textFill>
            <w14:solidFill>
              <w14:schemeClr w14:val="tx1"/>
            </w14:solidFill>
          </w14:textFill>
        </w:rPr>
      </w:pPr>
      <w:r>
        <w:rPr>
          <w:rFonts w:hint="eastAsia" w:asciiTheme="minorEastAsia" w:hAnsiTheme="minorEastAsia"/>
          <w:b/>
          <w:bCs/>
          <w:color w:val="000000" w:themeColor="text1"/>
          <w:sz w:val="28"/>
          <w:szCs w:val="28"/>
          <w:highlight w:val="none"/>
          <w14:textFill>
            <w14:solidFill>
              <w14:schemeClr w14:val="tx1"/>
            </w14:solidFill>
          </w14:textFill>
        </w:rPr>
        <w:t>第三阶段：银企对账功能开发</w:t>
      </w:r>
    </w:p>
    <w:p>
      <w:pPr>
        <w:spacing w:before="60" w:after="156" w:afterLines="50" w:line="360" w:lineRule="auto"/>
        <w:ind w:firstLine="480" w:firstLineChars="200"/>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开发智能的银企对账功能模块，包括：</w:t>
      </w:r>
    </w:p>
    <w:p>
      <w:pPr>
        <w:numPr>
          <w:ilvl w:val="0"/>
          <w:numId w:val="10"/>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对账单管理</w:t>
      </w:r>
    </w:p>
    <w:p>
      <w:pPr>
        <w:numPr>
          <w:ilvl w:val="0"/>
          <w:numId w:val="10"/>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明细对账管理</w:t>
      </w:r>
    </w:p>
    <w:p>
      <w:pPr>
        <w:numPr>
          <w:ilvl w:val="0"/>
          <w:numId w:val="10"/>
        </w:numPr>
        <w:spacing w:line="360" w:lineRule="auto"/>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手工调账</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（四）总体框架</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本项目依托现有的网站框架，在原框架基础上进行扩展开发，包括前端页面的扩展开发和后台管理模块的扩展开发两部分。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24" w:name="_Toc146178843"/>
      <w:r>
        <w:rPr>
          <w:rFonts w:hint="eastAsia"/>
          <w:color w:val="000000" w:themeColor="text1"/>
          <w:sz w:val="24"/>
          <w:highlight w:val="none"/>
          <w:lang w:val="en-US" w:eastAsia="zh-CN"/>
          <w14:textFill>
            <w14:solidFill>
              <w14:schemeClr w14:val="tx1"/>
            </w14:solidFill>
          </w14:textFill>
        </w:rPr>
        <w:t>1、软件体系架构</w:t>
      </w:r>
      <w:bookmarkEnd w:id="24"/>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系统采用目前流行的B/S（浏览器/服务器）多层体系架构，基于微软公司的.NET 4.5。技术体系基于目前先进且运行稳定的ASP.NET 4.5（C#）+DHTML（JQuery2.1.4）+XML（可扩展标记语言）+ Microsoft SQLServer2014（网络数据库），Framework4.5，集成Ajax（交互式网页应用开发）技术。</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25" w:name="_Toc176916828"/>
      <w:r>
        <w:rPr>
          <w:rFonts w:hint="eastAsia"/>
          <w:color w:val="000000" w:themeColor="text1"/>
          <w:sz w:val="24"/>
          <w:highlight w:val="none"/>
          <w:lang w:val="en-US" w:eastAsia="zh-CN"/>
          <w14:textFill>
            <w14:solidFill>
              <w14:schemeClr w14:val="tx1"/>
            </w14:solidFill>
          </w14:textFill>
        </w:rPr>
        <w:t>（五）技术方案</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1、应用软件开发</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 软件功能设计</w:t>
      </w:r>
    </w:p>
    <w:p>
      <w:pPr>
        <w:spacing w:line="360" w:lineRule="auto"/>
        <w:ind w:firstLine="480" w:firstLineChars="200"/>
        <w:outlineLvl w:val="0"/>
        <w:rPr>
          <w:rFonts w:asciiTheme="minorEastAsia" w:hAnsiTheme="minor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全电发票软件开发主要功能模块划分如下图所示：</w:t>
      </w:r>
    </w:p>
    <w:p>
      <w:pPr>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object>
          <v:shape id="_x0000_i1025" o:spt="75" type="#_x0000_t75" style="height:584.55pt;width:414.9pt;" o:ole="t" filled="f" o:preferrelative="t" stroked="f" coordsize="21600,21600">
            <v:path/>
            <v:fill on="f" focussize="0,0"/>
            <v:stroke on="f" joinstyle="miter"/>
            <v:imagedata r:id="rId12" o:title=""/>
            <o:lock v:ext="edit" aspectratio="t"/>
            <w10:wrap type="none"/>
            <w10:anchorlock/>
          </v:shape>
          <o:OLEObject Type="Embed" ProgID="Visio.Drawing.15" ShapeID="_x0000_i1025" DrawAspect="Content" ObjectID="_1468075725" r:id="rId11">
            <o:LockedField>false</o:LockedField>
          </o:OLEObject>
        </w:object>
      </w:r>
    </w:p>
    <w:p>
      <w:pPr>
        <w:ind w:firstLine="420" w:firstLineChars="200"/>
        <w:jc w:val="center"/>
        <w:rPr>
          <w:rFonts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图4全电发票软件开发主要功能模块</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1.2 开发方法、开发环境、开发技术</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应采用符合相关国家标准的软件开发规范,在整个开发流程中严格贯彻各项准则和软件工程要求，同时在从需求分析、概要设计、详细设计、测试到实施的全过程中，严格对每一个环节进行质量评审，确保最终软件系统满足需求规范的要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2、安全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本系统需符合《信息安全技术网络安全等级保护基本要求》（GB-T 22239-2019）中规定的第二级安全要求相关标准。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统一缴费系统需要实现如下的安全防护功能：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隔离和访问控制</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通过严格落实相关管理制度，如口令字及帐户管理规范、权限管理制度，加强访问控制的安全。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主机系统安全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应加强主机的安全配置、关闭一些不常用却存在安全隐患的应用、对一些保存有用户信息及其口令的关键文件使用权限进行严格限制；加强口令字的使用（增加口令复杂程度、不要使用与用户身份有关的、容易猜测的信息作为口令、定期修改口令），并及时给系统打补丁、系统内部的相互调用不对外公开。</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应用安全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在应用系统安全上，应用服务器尽量不要开放一些没有经常用的协议端口号,如文件服务、电子邮件服务器等应用系统；关闭服务器上如FTP、TELNET、RLOGIN等服务；加强登录身份认证，确保用户使用的合法性等。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数据安全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包括数据库系统信息的安全、文件系统的安全、内容用户的身份识别、口令识别、用户角色、用户帐号的存取权限、数据库读写权限以及数据库的备份、故障与审计跟踪等。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3、存储备份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数据库备份存储与灾难恢复</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对数据服务器中的数据库进行安全备份，制订安全备份计划和备份方案。通过网络备份系统，对数据库进行远程备份存储。</w:t>
      </w:r>
    </w:p>
    <w:bookmarkEnd w:id="25"/>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五、项目实施保障措施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（一）实施进度</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本项目的设计开发设计项目需求、方案设计、系统开发、测试和部署、上线等多个阶段，预计开发周期45天。</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各阶段工作内容和交付物如下图所示：</w:t>
      </w:r>
    </w:p>
    <w:p>
      <w:pPr>
        <w:spacing w:before="60" w:after="60"/>
        <w:ind w:firstLine="420"/>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object>
          <v:shape id="_x0000_i1026" o:spt="75" type="#_x0000_t75" style="height:191.6pt;width:414.9pt;" o:ole="t" filled="f" o:preferrelative="t" stroked="f" coordsize="21600,21600">
            <v:path/>
            <v:fill on="f" focussize="0,0"/>
            <v:stroke on="f" joinstyle="miter"/>
            <v:imagedata r:id="rId14" o:title=""/>
            <o:lock v:ext="edit" aspectratio="t"/>
            <w10:wrap type="none"/>
            <w10:anchorlock/>
          </v:shape>
          <o:OLEObject Type="Embed" ProgID="Visio.Drawing.15" ShapeID="_x0000_i1026" DrawAspect="Content" ObjectID="_1468075726" r:id="rId13">
            <o:LockedField>false</o:LockedField>
          </o:OLEObject>
        </w:object>
      </w:r>
    </w:p>
    <w:p>
      <w:pPr>
        <w:spacing w:before="60" w:after="156" w:afterLines="50"/>
        <w:ind w:firstLine="420"/>
        <w:jc w:val="center"/>
        <w:rPr>
          <w:rFonts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图5阶段里程碑工作内容及交付物</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（二）相关保障措施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1、质量保障措施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开发单位应采取项目经理综合管理和统一指挥形式，委派经验丰富、优秀的开发人员、技术骨干组成开发项目小组，进行全面质量管理、全面协调，形成强有力的管理机构。</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项目经理为工程质量第一质量责任人，对本项目的质量体系正确有效运作负责；工作组成员应掌握开发工作各项质量要求、标准，严格按照用户方制定的各项管理制度、开发规范和安全技术措施完成各项任务。</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2、进度保障措施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（1）严格按照开发进度计划的要求，将各工作阶段的工作任务和责任落实到开发、测试人员，并及时执行监督检查；</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（2）建立可行的进度控制工作体系，包括例会制度（技术会议、协调会议）、各类文件审核程序及时间限制等；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（3）在开发阶段的各个里程碑节点到来时，检查相应阶段的交付物是否完备，阶段成果是否满足工作质量和计划进度的要求；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（4）建立必要的变更控制规范，一旦需求发生变更或遭遇不可抗力，各方应遵循事先建立的变更程序，及时审核和批准变更。</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六、验收考核指标</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1、功能验收标准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按照需求规格说明书的要求，完成全部合同约定的功能。对于中途出现变更的功能，按照变更控制的要求，完成功能变更的开发。</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2、性能验收标准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本项目涉及的功能运行稳定，达到需求规格说明书要求的运行性能水平。</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3、操作标准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在可控范围内考虑用户体验，依据网站整体风格进行各项操作界面的交互设计，包括表单录入、修改、在线编辑，以及对话、提示等交互内容。</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4、文档标准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所提供的文档内容应能清晰全面地描述软件安装、部署、使用和维护的相关信息，并易于管理人员理解和操作。</w:t>
      </w:r>
    </w:p>
    <w:p>
      <w:pPr>
        <w:spacing w:line="360" w:lineRule="auto"/>
        <w:ind w:firstLine="482" w:firstLineChars="200"/>
        <w:outlineLvl w:val="0"/>
        <w:rPr>
          <w:rFonts w:hint="eastAsia"/>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第二包：</w:t>
      </w:r>
    </w:p>
    <w:p>
      <w:pPr>
        <w:spacing w:line="360" w:lineRule="auto"/>
        <w:ind w:firstLine="480" w:firstLineChars="200"/>
        <w:outlineLvl w:val="0"/>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一、项目背景</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天津市公共资源交易中心（天津市政府采购中心）网站（以下简称“本网站”）是为了合理利用资源、统一信息发布渠道、树立规范高效的行业形象，避免信息发布渠道分散，给市场主体造成不便，而建立的“天津市公共资源交易中心”门户网站。</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中心网站对于服务对象，尤其是市场主体来说，是查询和了解各类交易信息、系统公告、政策法规等公开信息的重要渠道。在网站的明显位置上，通过设置客户服务的入口，并提供有针对性的问题解答，可以大量减少客服人员的重复工作、提高客户服务的效率。不仅节省人工，还能提高客户服务的精准性，提升客户服务效能。尤其对于夜间无人值守的情况下，对于提升用户体验，具有重要的价值和意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本项目属于软件和信息技术服务行业。</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26" w:name="_Toc148976432"/>
      <w:bookmarkStart w:id="27" w:name="_Toc176916824"/>
      <w:bookmarkStart w:id="28" w:name="_Toc176916827"/>
      <w:r>
        <w:rPr>
          <w:rFonts w:hint="eastAsia"/>
          <w:color w:val="000000" w:themeColor="text1"/>
          <w:sz w:val="24"/>
          <w:highlight w:val="none"/>
          <w:lang w:val="en-US" w:eastAsia="zh-CN"/>
          <w14:textFill>
            <w14:solidFill>
              <w14:schemeClr w14:val="tx1"/>
            </w14:solidFill>
          </w14:textFill>
        </w:rPr>
        <w:t>二、需求分析</w:t>
      </w:r>
      <w:bookmarkEnd w:id="26"/>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29" w:name="_Toc148976433"/>
      <w:r>
        <w:rPr>
          <w:rFonts w:hint="eastAsia"/>
          <w:color w:val="000000" w:themeColor="text1"/>
          <w:sz w:val="24"/>
          <w:highlight w:val="none"/>
          <w:lang w:val="en-US" w:eastAsia="zh-CN"/>
          <w14:textFill>
            <w14:solidFill>
              <w14:schemeClr w14:val="tx1"/>
            </w14:solidFill>
          </w14:textFill>
        </w:rPr>
        <w:t>（一）业务需求</w:t>
      </w:r>
      <w:bookmarkEnd w:id="29"/>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30" w:name="_Toc148976434"/>
      <w:r>
        <w:rPr>
          <w:rFonts w:hint="eastAsia"/>
          <w:color w:val="000000" w:themeColor="text1"/>
          <w:sz w:val="24"/>
          <w:highlight w:val="none"/>
          <w:lang w:val="en-US" w:eastAsia="zh-CN"/>
          <w14:textFill>
            <w14:solidFill>
              <w14:schemeClr w14:val="tx1"/>
            </w14:solidFill>
          </w14:textFill>
        </w:rPr>
        <w:t>1、业务</w:t>
      </w:r>
      <w:bookmarkEnd w:id="30"/>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本项目的业务需求分为前台业务和后台业务两部分，其中前台业务包括客服入口、常见问题的浏览和检索，问题及解答的查阅，相关问题的关联查看，并记录用户的浏览日志。</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后台业务以常见问题的管理维护和发布为主。客服管理员登录后台后，进入相应的管理模块，按系统提供的表单录入常见问题的信息。</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31" w:name="_Toc148976435"/>
      <w:r>
        <w:rPr>
          <w:rFonts w:hint="eastAsia"/>
          <w:color w:val="000000" w:themeColor="text1"/>
          <w:sz w:val="24"/>
          <w:highlight w:val="none"/>
          <w:lang w:val="en-US" w:eastAsia="zh-CN"/>
          <w14:textFill>
            <w14:solidFill>
              <w14:schemeClr w14:val="tx1"/>
            </w14:solidFill>
          </w14:textFill>
        </w:rPr>
        <w:t>2、主要用户及权限说明</w:t>
      </w:r>
      <w:bookmarkEnd w:id="31"/>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本次升级的本项目主要针对两类用户：</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浏览用户</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即网站的普通访问者，以服务的市场主体为主。</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最终用户的权限局限在前台网页的浏览、搜索，具体包括常见问题入口、问题浏览、检索、问题及解答的查阅，关联问题的查看等。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管理用户</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为中心客服部门的管理人员，主要负责问题分类、常见问题及解答的维护管理、发布问题等工作。</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管理用户除了具备最终用户的权限外，还能登录系统后台，管理问题的分类，并对常见问题进行日常管理和发布。为了区别与网站的信息发布模块，需要增加专门的客服问题管理用户，并分配相关模块的权限，使这些管理用户能安全、方便地管理客服问题。</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32" w:name="_Toc148976436"/>
      <w:r>
        <w:rPr>
          <w:rFonts w:hint="eastAsia"/>
          <w:color w:val="000000" w:themeColor="text1"/>
          <w:sz w:val="24"/>
          <w:highlight w:val="none"/>
          <w:lang w:val="en-US" w:eastAsia="zh-CN"/>
          <w14:textFill>
            <w14:solidFill>
              <w14:schemeClr w14:val="tx1"/>
            </w14:solidFill>
          </w14:textFill>
        </w:rPr>
        <w:t>（二）功能需求</w:t>
      </w:r>
      <w:bookmarkEnd w:id="32"/>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本项目的功能分为前台用户功能和后台管理功能两大部分，主要的功能模块划分如下图所示：</w:t>
      </w:r>
    </w:p>
    <w:p>
      <w:pPr>
        <w:spacing w:after="156" w:afterLines="5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object>
          <v:shape id="_x0000_i1027" o:spt="75" type="#_x0000_t75" style="height:295.95pt;width:353.35pt;" o:ole="t" filled="f" o:preferrelative="t" stroked="f" coordsize="21600,21600">
            <v:path/>
            <v:fill on="f" focussize="0,0"/>
            <v:stroke on="f"/>
            <v:imagedata r:id="rId16" o:title=""/>
            <o:lock v:ext="edit" aspectratio="t"/>
            <w10:wrap type="none"/>
            <w10:anchorlock/>
          </v:shape>
          <o:OLEObject Type="Embed" ProgID="Visio.Drawing.15" ShapeID="_x0000_i1027" DrawAspect="Content" ObjectID="_1468075727" r:id="rId15">
            <o:LockedField>false</o:LockedField>
          </o:OLEObject>
        </w:object>
      </w:r>
    </w:p>
    <w:p>
      <w:pPr>
        <w:spacing w:after="156" w:afterLines="50" w:line="360" w:lineRule="auto"/>
        <w:jc w:val="center"/>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图</w:t>
      </w: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功能模块划分示意图</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33" w:name="_Toc148976437"/>
      <w:r>
        <w:rPr>
          <w:rFonts w:hint="eastAsia"/>
          <w:color w:val="000000" w:themeColor="text1"/>
          <w:sz w:val="24"/>
          <w:highlight w:val="none"/>
          <w:lang w:val="en-US" w:eastAsia="zh-CN"/>
          <w14:textFill>
            <w14:solidFill>
              <w14:schemeClr w14:val="tx1"/>
            </w14:solidFill>
          </w14:textFill>
        </w:rPr>
        <w:t>1、前台用户功能</w:t>
      </w:r>
      <w:bookmarkEnd w:id="33"/>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1.1客服入口</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在首页右下方位置设置客服入口，通过图片链接+文字提示的方式，明确提醒用户。客服入口固定在屏幕右下方，不随页面内容滚动而发生变化。客服入口的图片应大方、得体，并与网站的整体风格保持一致。</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1.2常见问题列表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系统以列表形式呈现常见问题，列表项包括问题的描述、发布时间等。列表应首先显示热点问题，再显示普通问题。</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所有问题均应按照后台设定的排序顺序从前往后进行显示。后台一旦修改了问题的信息，包括设定为热点问题、修改问题的排序序号等，并通过发布后，前台应立即按照修改后的内容和规则进行显示。</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1.3问题检索</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系统向市场主体提供方便、快捷的问题检索功能，并和列表功能集成在一起。</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系统以输入关键词的方式进行查询，支持多个关键词（用中文或英文逗号分隔）。系统禁止单字查询，并限制关键词的最多个数（可在后台设定）。</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用户输入关键词后，挨个对关键词进行匹配，匹配对象包括问题的描述、解答、问题设定的关键词。</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1.4常见问题查看</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用户点击某个问题的描述后，应能查看该问题的详细解答内容。</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系统应同时显示与本问题的相关问题的列表。用户点击某个相关问题后，跳转到对应的问题，以便于用户找到真正的解答。</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34" w:name="_Toc148976438"/>
      <w:r>
        <w:rPr>
          <w:rFonts w:hint="eastAsia"/>
          <w:color w:val="000000" w:themeColor="text1"/>
          <w:sz w:val="24"/>
          <w:highlight w:val="none"/>
          <w:lang w:val="en-US" w:eastAsia="zh-CN"/>
          <w14:textFill>
            <w14:solidFill>
              <w14:schemeClr w14:val="tx1"/>
            </w14:solidFill>
          </w14:textFill>
        </w:rPr>
        <w:t>2、后台管理功能</w:t>
      </w:r>
      <w:bookmarkEnd w:id="34"/>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2.1常见问题分类管理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系统能按照实际工作的需要，对常见问题进行分类管理，自定义问题的分类。随着客服咨询情况的变化，管理员可以随时调整分类，也可以增加新的问题分类。</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常见问题分类管理包括新增分类、修改分类、删除分类功能。如果某个分类中已经存在常见问题，则不允许删除该分类。</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2.2常见问题管理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常见问题管理用于常见问题的日常维护操作，包括新增、修改、删除、列表查询、热点问题标记、显示隐藏、设置排序、设置关键词等多项功能。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2.2.1常见问题列表、查询</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以列表形式展示已存在的常见问题，列表中应显示问题描述、问题解答、状态（录入中、已发布）、录入人员、录入时间、发布时间、是否显示、是否热点问题、排序序号等。列表的数据量根据实际情况确定，管理员可以自行操作选择每页显示的数据个数。</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系统支持对所有已录入的常见问题进行查询，可以按关键词、多关键词、问题分类、录入时间（范围）、发布时间（范围）等多种方式进行查询检索。</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2.2.2常见问题新增</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管理人员登录后台后，应能随时新增常见问题。</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管理人员按照后台提供的表单录入常见问题的信息，包括问题描述、解答、是否显示、是否热点问题、排序等；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可设定该问题对应一个或多个关键词。不同问题之间，自动通过关键词建立关联关系；</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管理人员应能通过在线编辑的方式，录入解答的内容。可以对内容进行格式化处理，包括选择不同字体、改变颜色、字号大小，添加链接，上传图片等，解答的内容应标准规范、外观简洁得体。</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2.2.3常见问题修改</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管理人员登录后台后，应能随时修改常见问题。</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管理人员按照后台提供的表单修改常见问题的信息，包括问题描述、解答、是否显示、是否热点问题、排序等。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管理人员一旦修改某个问题后，问题的状态自动变为未发布，需要正式发布后，前台才能展示和查询。</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2.2.4常见问题删除</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管理人员应能登录后台，对某些常见问题执行删除操作。删除前，系统应给出明显提示，以防止误删。</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2.2.5常见问题查看</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管理人员点击某个问题的描述后，应能查看该问题的详细解答内容、发布时间等。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系统应同时显示与本问题的相关问题的列表。点击某个相关问题后，跳转到对应的问题；如果发现问题之间的关联不够合理，应能修改关键词，重新生成相关问题的列表。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2.2.6设置热点问题</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管理人员可以随时将某些问题设置为热点问题，也可以取消某些热点问题。</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2.2.7常见问题隐藏</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对于暂时不想在前台显示的问题，管理员应能在后台进行隐藏操作；被隐藏的问题在前台不能显示和查询，直到后台取消隐藏。</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2.2.8调整排序</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管理人员应能登录后台，随时修改问题的排序；排序序号变化后，前台的问题列表应能立即按照新的序号进行显示。</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2.2.9发布常见问题</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管理人员应能登录后台，对确认无误的问题进行发布。只有发布后的问题，前台才能检索和查看。</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管理人员可以一次发布一个问题，也可以多个问题同时发布。</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2.3日志管理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管理员人员应能通过日志管理，对常见问题的浏览情况进行汇总和初步的统计分析，具体包括：</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2.3.1日志列表及查询</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管理员登录后台后，可以查看各类问题的被浏览情况，包括浏览者的来源、浏览时间等。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系统应提供日志的查询功能，按照问题分类、指定的问题、浏览时间范围等条件，对日志进行过滤检索，从而掌握指定常见问题的访问情况。</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2.3.2日志统计</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系统应提供基本的日志统计功能，支持管理员对常见问题的浏览历史进行统计分析。</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系统可以按问题分类、设定的浏览时间段，对浏览情况进行统计，给出浏览次数的统计排名表（例如前20位浏览次数最多的问题）。</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2.4权限管理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系统应提供权限管理功能，能针对特定的用户或角色，赋予客服问题管理的相关权限，包括新增、修改、删除、发布、排序、设置热点等。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35" w:name="_Toc148976439"/>
      <w:r>
        <w:rPr>
          <w:rFonts w:hint="eastAsia"/>
          <w:color w:val="000000" w:themeColor="text1"/>
          <w:sz w:val="24"/>
          <w:highlight w:val="none"/>
          <w:lang w:val="en-US" w:eastAsia="zh-CN"/>
          <w14:textFill>
            <w14:solidFill>
              <w14:schemeClr w14:val="tx1"/>
            </w14:solidFill>
          </w14:textFill>
        </w:rPr>
        <w:t>（三）数据需求</w:t>
      </w:r>
      <w:bookmarkEnd w:id="35"/>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本项目不涉及政务信息资源，跨部门、跨层级资源共享需求等数据需求。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36" w:name="_Toc148976440"/>
      <w:r>
        <w:rPr>
          <w:rFonts w:hint="eastAsia"/>
          <w:color w:val="000000" w:themeColor="text1"/>
          <w:sz w:val="24"/>
          <w:highlight w:val="none"/>
          <w:lang w:val="en-US" w:eastAsia="zh-CN"/>
          <w14:textFill>
            <w14:solidFill>
              <w14:schemeClr w14:val="tx1"/>
            </w14:solidFill>
          </w14:textFill>
        </w:rPr>
        <w:t>（四）性能需求</w:t>
      </w:r>
      <w:bookmarkEnd w:id="36"/>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在网络稳定的环境下，操作性界面单一操作的系统响应时间小于2秒；统计界面的系统响应时间小于5秒；</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系统前台并发访问用户数支持1000以上的访问请求，动态支持水平扩展；后台支持200个并发用户；</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网站页面及正文页的响应速度在2秒以内。单个管理用户登录后台页面的平均时间小于1.5秒，单篇文档发布的平均时间小于2秒;</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支持初始数据量100万记录数以上，支持年数据量为500万记录数、50GB字节的数据量；</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系统提供7×24小时的连续运行，平均年故障时间＜4个小时，平均故障修复时间＜60分钟。</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37" w:name="_Toc148976441"/>
      <w:r>
        <w:rPr>
          <w:rFonts w:hint="eastAsia"/>
          <w:color w:val="000000" w:themeColor="text1"/>
          <w:sz w:val="24"/>
          <w:highlight w:val="none"/>
          <w:lang w:val="en-US" w:eastAsia="zh-CN"/>
          <w14:textFill>
            <w14:solidFill>
              <w14:schemeClr w14:val="tx1"/>
            </w14:solidFill>
          </w14:textFill>
        </w:rPr>
        <w:t>（五）安全需求</w:t>
      </w:r>
      <w:bookmarkEnd w:id="37"/>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网站系统的安全等级需符合《信息安全技术网络安全等级保护基本要求》（GB-T 22239-2019）中规定的第二级安全要求相关标准，建立与系统安全等级相匹配的身份鉴别、访问控制、安全审计、入侵防范、恶意代码防范、可信验证、数据完整性、数据备份恢复、剩余信息保护、个人信息保护功能。建成网站系统经检测不得存在《信息安全技术安全漏洞等级划分指南》（GB/T 30279-2013）规定的中危及以上安全漏洞。</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38" w:name="_Toc148976442"/>
      <w:r>
        <w:rPr>
          <w:rFonts w:hint="eastAsia"/>
          <w:color w:val="000000" w:themeColor="text1"/>
          <w:sz w:val="24"/>
          <w:highlight w:val="none"/>
          <w:lang w:val="en-US" w:eastAsia="zh-CN"/>
          <w14:textFill>
            <w14:solidFill>
              <w14:schemeClr w14:val="tx1"/>
            </w14:solidFill>
          </w14:textFill>
        </w:rPr>
        <w:t>三、</w:t>
      </w:r>
      <w:bookmarkEnd w:id="27"/>
      <w:r>
        <w:rPr>
          <w:rFonts w:hint="eastAsia"/>
          <w:color w:val="000000" w:themeColor="text1"/>
          <w:sz w:val="24"/>
          <w:highlight w:val="none"/>
          <w:lang w:val="en-US" w:eastAsia="zh-CN"/>
          <w14:textFill>
            <w14:solidFill>
              <w14:schemeClr w14:val="tx1"/>
            </w14:solidFill>
          </w14:textFill>
        </w:rPr>
        <w:t>建设目标</w:t>
      </w:r>
      <w:bookmarkEnd w:id="38"/>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39" w:name="_Toc148976443"/>
      <w:r>
        <w:rPr>
          <w:rFonts w:hint="eastAsia"/>
          <w:color w:val="000000" w:themeColor="text1"/>
          <w:sz w:val="24"/>
          <w:highlight w:val="none"/>
          <w:lang w:val="en-US" w:eastAsia="zh-CN"/>
          <w14:textFill>
            <w14:solidFill>
              <w14:schemeClr w14:val="tx1"/>
            </w14:solidFill>
          </w14:textFill>
        </w:rPr>
        <w:t>（一）业务目标</w:t>
      </w:r>
      <w:bookmarkEnd w:id="39"/>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对现有的客户服务内容，尤其是日常客服过程中客户关注的问题进行分类、整理，对常见问题及解答进行完整的归类总结，实现常见问题及解答的文档化、知识化，建立问题知识库。在此基础上，借助网站平台的对外信息发布功能和24小时不间断服务的特点，及时发布各类常见问题，为市场主体提供全面、及时的信息化服务。</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系统升级改造后，应能达到如下业务目标：</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通过网站平台及时发布各类常见问题，包括问题的维护、发布，热点问题调整，问题的显示、隐藏，问题排序调整等；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通过网站的客服系统，实现问题的发布、访问的流程化管理，建立常见问题的信息化处理流程，实现常见问题处理的自动化、信息化和流程化；</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通过网站的客户系统对常见问题的访问情况进行统计分析，掌握各类常见问题的浏览情况，评估市场主体的关注点，获得及时的用户反馈。</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40" w:name="_Toc148976444"/>
      <w:r>
        <w:rPr>
          <w:rFonts w:hint="eastAsia"/>
          <w:color w:val="000000" w:themeColor="text1"/>
          <w:sz w:val="24"/>
          <w:highlight w:val="none"/>
          <w:lang w:val="en-US" w:eastAsia="zh-CN"/>
          <w14:textFill>
            <w14:solidFill>
              <w14:schemeClr w14:val="tx1"/>
            </w14:solidFill>
          </w14:textFill>
        </w:rPr>
        <w:t>（二）技术目标</w:t>
      </w:r>
      <w:bookmarkEnd w:id="40"/>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41" w:name="_Toc148976445"/>
      <w:r>
        <w:rPr>
          <w:rFonts w:hint="eastAsia"/>
          <w:color w:val="000000" w:themeColor="text1"/>
          <w:sz w:val="24"/>
          <w:highlight w:val="none"/>
          <w:lang w:val="en-US" w:eastAsia="zh-CN"/>
          <w14:textFill>
            <w14:solidFill>
              <w14:schemeClr w14:val="tx1"/>
            </w14:solidFill>
          </w14:textFill>
        </w:rPr>
        <w:t>1、软件的功能目标</w:t>
      </w:r>
      <w:bookmarkEnd w:id="41"/>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按系统功能需求的要求，为最终用户提供常见问题的前台功能，包括在首页添加常见问题入口，常见问题的列表及查询检索功能，问题及解答详细信息的查阅，相关问题的列表等；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为管理人员提供常见问题的后台管理和维护功能，包括问题的新增、修改、删除，按问题的分类、关键词和时间范围对问题进行检索查询，以及标记热点问题、设置问题排序序号、修改关键词等，最后实现问题的发布功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42" w:name="_Toc148976446"/>
      <w:r>
        <w:rPr>
          <w:rFonts w:hint="eastAsia"/>
          <w:color w:val="000000" w:themeColor="text1"/>
          <w:sz w:val="24"/>
          <w:highlight w:val="none"/>
          <w:lang w:val="en-US" w:eastAsia="zh-CN"/>
          <w14:textFill>
            <w14:solidFill>
              <w14:schemeClr w14:val="tx1"/>
            </w14:solidFill>
          </w14:textFill>
        </w:rPr>
        <w:t>2、软件的技术结构</w:t>
      </w:r>
      <w:bookmarkEnd w:id="42"/>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软件平台采用基于SOA的一体化平台体系架构，构建符合SOA逻辑体系要求的应用系统。基于SOA的一体化平台技术，将一体化管理与先进的SOA的体系架构融合，综合二者的特长。使用一体化管理技术，封装所有的用户、权限、模板、核心服务等信息，并共享给所有的功能模块，在信息高度集成的同时，实现统一的调度、安全监督和系统管理。由于存在一个中心位置，因此可以将日志和审计记录应用到所有的业务事务。通过横跨所有子系统的审计记录和标准日志机制、一致的错误处理等，确保整个平台的一致性。</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43" w:name="_Toc148976447"/>
      <w:r>
        <w:rPr>
          <w:rFonts w:hint="eastAsia"/>
          <w:color w:val="000000" w:themeColor="text1"/>
          <w:sz w:val="24"/>
          <w:highlight w:val="none"/>
          <w:lang w:val="en-US" w:eastAsia="zh-CN"/>
          <w14:textFill>
            <w14:solidFill>
              <w14:schemeClr w14:val="tx1"/>
            </w14:solidFill>
          </w14:textFill>
        </w:rPr>
        <w:t>四、建设方案</w:t>
      </w:r>
      <w:bookmarkEnd w:id="28"/>
      <w:bookmarkEnd w:id="43"/>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44" w:name="_Toc148976448"/>
      <w:r>
        <w:rPr>
          <w:rFonts w:hint="eastAsia"/>
          <w:color w:val="000000" w:themeColor="text1"/>
          <w:sz w:val="24"/>
          <w:highlight w:val="none"/>
          <w:lang w:val="en-US" w:eastAsia="zh-CN"/>
          <w14:textFill>
            <w14:solidFill>
              <w14:schemeClr w14:val="tx1"/>
            </w14:solidFill>
          </w14:textFill>
        </w:rPr>
        <w:t>（一）建设原则</w:t>
      </w:r>
      <w:bookmarkEnd w:id="44"/>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系统依托现有的网站平台进行扩展开发，充分利用现有资源，无需增加新的软、硬件设备设施的投入，也无需增加任何第三方组件和接口，充分节省投资，缩短开发周期，快速完成开发和部署。</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45" w:name="_Toc148976450"/>
      <w:r>
        <w:rPr>
          <w:rFonts w:hint="eastAsia"/>
          <w:color w:val="000000" w:themeColor="text1"/>
          <w:sz w:val="24"/>
          <w:highlight w:val="none"/>
          <w:lang w:val="en-US" w:eastAsia="zh-CN"/>
          <w14:textFill>
            <w14:solidFill>
              <w14:schemeClr w14:val="tx1"/>
            </w14:solidFill>
          </w14:textFill>
        </w:rPr>
        <w:t>（二）总体建设任务与分期建设内容</w:t>
      </w:r>
      <w:bookmarkEnd w:id="45"/>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 xml:space="preserve">项目的建设任务为在现有的网站软件平台之上，构建一个客户服务常见问题的维护管理系统，实现常见问题的分类定义，问题的新增、维护、发布、浏览、检索、关联等一系列功能，并能对浏览结果进行记录和初步统计。 </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46" w:name="_Toc148976451"/>
      <w:r>
        <w:rPr>
          <w:rFonts w:hint="eastAsia"/>
          <w:color w:val="000000" w:themeColor="text1"/>
          <w:sz w:val="24"/>
          <w:highlight w:val="none"/>
          <w:lang w:val="en-US" w:eastAsia="zh-CN"/>
          <w14:textFill>
            <w14:solidFill>
              <w14:schemeClr w14:val="tx1"/>
            </w14:solidFill>
          </w14:textFill>
        </w:rPr>
        <w:t>（三）总体框架</w:t>
      </w:r>
      <w:bookmarkEnd w:id="46"/>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本项目依托现有的网站框架，在原框架基础上进行扩展开发，包括前端页面的扩展开发和后台管理模块的扩展开发两部分。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47" w:name="_Toc148976452"/>
      <w:r>
        <w:rPr>
          <w:rFonts w:hint="eastAsia"/>
          <w:color w:val="000000" w:themeColor="text1"/>
          <w:sz w:val="24"/>
          <w:highlight w:val="none"/>
          <w:lang w:val="en-US" w:eastAsia="zh-CN"/>
          <w14:textFill>
            <w14:solidFill>
              <w14:schemeClr w14:val="tx1"/>
            </w14:solidFill>
          </w14:textFill>
        </w:rPr>
        <w:t>（四）技术方案</w:t>
      </w:r>
      <w:bookmarkEnd w:id="47"/>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48" w:name="_Toc148976453"/>
      <w:r>
        <w:rPr>
          <w:rFonts w:hint="eastAsia"/>
          <w:color w:val="000000" w:themeColor="text1"/>
          <w:sz w:val="24"/>
          <w:highlight w:val="none"/>
          <w:lang w:val="en-US" w:eastAsia="zh-CN"/>
          <w14:textFill>
            <w14:solidFill>
              <w14:schemeClr w14:val="tx1"/>
            </w14:solidFill>
          </w14:textFill>
        </w:rPr>
        <w:t>1、应用软件开发</w:t>
      </w:r>
      <w:bookmarkEnd w:id="48"/>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软件功能设计</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下图为本网站的功能体系示意图，需要新增开发的模块用彩色标识：橙色块表示新增的前台功能模块，蓝色块为新增的后台功能模块，其他为原有的功能模块。</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object>
          <v:shape id="_x0000_i1028" o:spt="75" type="#_x0000_t75" style="height:402.75pt;width:414.75pt;" o:ole="t" filled="f" o:preferrelative="t" stroked="f" coordsize="21600,21600">
            <v:path/>
            <v:fill on="f" focussize="0,0"/>
            <v:stroke on="f" joinstyle="miter"/>
            <v:imagedata r:id="rId18" o:title=""/>
            <o:lock v:ext="edit" aspectratio="t"/>
            <w10:wrap type="none"/>
            <w10:anchorlock/>
          </v:shape>
          <o:OLEObject Type="Embed" ProgID="Visio.Drawing.15" ShapeID="_x0000_i1028" DrawAspect="Content" ObjectID="_1468075728" r:id="rId17">
            <o:LockedField>false</o:LockedField>
          </o:OLEObject>
        </w:object>
      </w:r>
    </w:p>
    <w:p>
      <w:pPr>
        <w:spacing w:before="156" w:beforeLines="50" w:after="156" w:afterLines="5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图</w:t>
      </w:r>
      <w:r>
        <w:rPr>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网站总体功能体系示意图</w:t>
      </w:r>
    </w:p>
    <w:p>
      <w:pPr>
        <w:numPr>
          <w:ilvl w:val="0"/>
          <w:numId w:val="11"/>
        </w:numPr>
        <w:spacing w:after="156" w:afterLines="50"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开发方法、开发环境、开发技术</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应采用符合相关国家标准的软件开发规范,在整个开发流程中严格贯彻各项准则和软件工程要求，同时在从需求分析、概要设计、详细设计、测试到实施的全过程中，严格对每一个环节进行质量评审，确保最终软件系统满足需求规范的要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软件系统基于Windows Server平台设计开发，具体为： Microsoft Windows Server 2012 R2+SVN+ASP.NET 4.5(C#) +DHTML/XML+网络数据库(SQLServer2014)。</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49" w:name="_Toc148976458"/>
      <w:r>
        <w:rPr>
          <w:rFonts w:hint="eastAsia"/>
          <w:color w:val="000000" w:themeColor="text1"/>
          <w:sz w:val="24"/>
          <w:highlight w:val="none"/>
          <w:lang w:val="en-US" w:eastAsia="zh-CN"/>
          <w14:textFill>
            <w14:solidFill>
              <w14:schemeClr w14:val="tx1"/>
            </w14:solidFill>
          </w14:textFill>
        </w:rPr>
        <w:t>2、存储备份</w:t>
      </w:r>
      <w:bookmarkEnd w:id="49"/>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（1）数据库备份存储与灾难恢复</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对数据服务器中的数据库进行安全备份，制订安全备份计划和备份方案。通过网络备份系统，对数据库进行远程备份存储。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（2）文件存储备份与恢复</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对上传的各类文件需要进行安全的存储备份，包括office文档、pdf格式文档、图片等。尽量选择异机备份，出现问题时，能及时、完整恢复相关文件。</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50" w:name="_Toc148976463"/>
      <w:r>
        <w:rPr>
          <w:rFonts w:hint="eastAsia"/>
          <w:color w:val="000000" w:themeColor="text1"/>
          <w:sz w:val="24"/>
          <w:highlight w:val="none"/>
          <w:lang w:val="en-US" w:eastAsia="zh-CN"/>
          <w14:textFill>
            <w14:solidFill>
              <w14:schemeClr w14:val="tx1"/>
            </w14:solidFill>
          </w14:textFill>
        </w:rPr>
        <w:t>五、项目实施保障措施</w:t>
      </w:r>
      <w:bookmarkEnd w:id="50"/>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bookmarkStart w:id="51" w:name="_Toc148976464"/>
      <w:r>
        <w:rPr>
          <w:rFonts w:hint="eastAsia"/>
          <w:color w:val="000000" w:themeColor="text1"/>
          <w:sz w:val="24"/>
          <w:highlight w:val="none"/>
          <w:lang w:val="en-US" w:eastAsia="zh-CN"/>
          <w14:textFill>
            <w14:solidFill>
              <w14:schemeClr w14:val="tx1"/>
            </w14:solidFill>
          </w14:textFill>
        </w:rPr>
        <w:t>（一）实施进度</w:t>
      </w:r>
      <w:bookmarkEnd w:id="51"/>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本项目开发、实施计划总历时2个月（45个工作日）, 工作计划及各阶段的交付物如下图所示：</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object>
          <v:shape id="_x0000_i1029" o:spt="75" type="#_x0000_t75" style="height:192pt;width:414.75pt;" o:ole="t" filled="f" o:preferrelative="t" stroked="f" coordsize="21600,21600">
            <v:path/>
            <v:fill on="f" focussize="0,0"/>
            <v:stroke on="f" joinstyle="miter"/>
            <v:imagedata r:id="rId20" o:title=""/>
            <o:lock v:ext="edit" aspectratio="t"/>
            <w10:wrap type="none"/>
            <w10:anchorlock/>
          </v:shape>
          <o:OLEObject Type="Embed" ProgID="Visio.Drawing.15" ShapeID="_x0000_i1029" DrawAspect="Content" ObjectID="_1468075729" r:id="rId19">
            <o:LockedField>false</o:LockedField>
          </o:OLEObject>
        </w:object>
      </w:r>
    </w:p>
    <w:p>
      <w:pPr>
        <w:spacing w:before="156" w:beforeLines="50" w:after="156" w:afterLines="5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图</w:t>
      </w: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 xml:space="preserve"> 实施进度及交付物流程示意图</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（二）相关保障措施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1、质量保障措施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开发单位应采取项目经理综合管理和统一指挥形式，委派经验丰富、优秀的开发人员、技术骨干组成开发项目小组，进行全面质量管理、全面协调，形成强有力的管理机构。</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项目经理为工程质量第一质量责任人，对本项目的质量体系正确有效运作负责；工作组成员应掌握开发工作各项质量要求、标准，严格按照用户方制定的各项管理制度、开发规范和安全技术措施完成各项任务。</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2、进度保障措施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（1）严格按照开发进度计划的要求，将各工作阶段的工作任务和责任落实到开发、测试人员，并及时执行监督检查；</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（2）建立可行的进度控制工作体系，包括例会制度（技术会议、协调会议）、各类文件审核程序及时间限制等；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（3）在开发阶段的各个里程碑节点到来时，检查相应阶段的交付物是否完备，阶段成果是否满足工作质量和计划进度的要求；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（4）建立必要的变更控制规范，一旦需求发生变更或遭遇不可抗力，各方应遵循事先建立的变更程序，及时审核和批准变更。</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六、验收考核指标</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1、功能验收标准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按照需求规格说明书的要求，完成全部合同约定的功能。对于中途出现变更的功能，按照变更控制的要求，完成功能变更的开发。</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2、性能验收标准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本项目涉及的功能运行稳定，达到需求规格说明书要求的运行性能水平。</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3、操作标准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在可控范围内考虑用户体验，依据网站整体风格进行各项操作界面的交互设计，包括表单录入、修改、在线编辑，以及对话、提示等交互内容。</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4、文档标准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所提供的文档内容应能清晰全面地描述软件安装、部署、使用和维护的相关信息，并易于管理人员理解和操作。</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第三包：</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一、项目背景</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为进一步建立并完善公开、公平、公正、规范、有序的土地市场秩序，并配合土地管理部门提高土地交易的信息化、自动化水平，需要建立以地块基本信息为基础，融合土地使用权交易信息的全过程管理及跟踪评价机制，充分借鉴目前最新的网络化、信息化技术手段，实现全流程、多方位、自动化、数字化的土地交易管理信息系统，加快土地交易业务部门的信息系统建设的进程，需对现有系统进行升级。</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本项目属于</w:t>
      </w:r>
      <w:r>
        <w:rPr>
          <w:rFonts w:hint="eastAsia"/>
          <w:color w:val="000000" w:themeColor="text1"/>
          <w:sz w:val="24"/>
          <w:highlight w:val="none"/>
          <w:lang w:val="en-US" w:eastAsia="zh-CN"/>
          <w14:textFill>
            <w14:solidFill>
              <w14:schemeClr w14:val="tx1"/>
            </w14:solidFill>
          </w14:textFill>
        </w:rPr>
        <w:t>软件和信息技术服务</w:t>
      </w:r>
      <w:r>
        <w:rPr>
          <w:rFonts w:hint="eastAsia"/>
          <w:color w:val="000000" w:themeColor="text1"/>
          <w:sz w:val="24"/>
          <w:highlight w:val="none"/>
          <w14:textFill>
            <w14:solidFill>
              <w14:schemeClr w14:val="tx1"/>
            </w14:solidFill>
          </w14:textFill>
        </w:rPr>
        <w:t>行业</w:t>
      </w:r>
      <w:r>
        <w:rPr>
          <w:rFonts w:hint="eastAsia"/>
          <w:color w:val="000000" w:themeColor="text1"/>
          <w:sz w:val="24"/>
          <w:highlight w:val="none"/>
          <w:lang w:eastAsia="zh-CN"/>
          <w14:textFill>
            <w14:solidFill>
              <w14:schemeClr w14:val="tx1"/>
            </w14:solidFill>
          </w14:textFill>
        </w:rPr>
        <w:t>。</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二、需求分析</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（一）业务需求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完成土地交易的日常信息发布，包括公告发布、数据传输、数据统计整理等。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（二）功能需求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1、项目信息管理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发布和管理土地交易项目，包括交易信息，以及交易的宗地信息进行录入、导入等工作，一个交易项目对应一个地块。</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2、公告管理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2.1、公告信息管理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对交易项目的三种公告（出让公告、补充公告、成交公告）进行统一管理，包括公告内容编辑、信息发布，列表及查询等功能，最终推送公告到天津市公共资源交易中心网站、天津公共资源交易网，并能够与北京市、河北省公共资源交易网站数据双向自动推送与抓取。</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2.2、公告发布管理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通过信息发布功能，对出让公告、补充公告、成交公告的内容进行维护，并按照约定的推送规则，将公告推送至公共资源交易中心网站、天津公共资源交易网，并能够与北京市、河北省公共资源交易网站数据双向自动推送与抓取。</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出让公告发布后，需确保公告内容末尾包含如下二维码图片，以便竞买人通过扫码下载挂牌文件。</w:t>
      </w:r>
    </w:p>
    <w:p>
      <w:pPr>
        <w:jc w:val="center"/>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drawing>
          <wp:inline distT="0" distB="0" distL="0" distR="0">
            <wp:extent cx="2103755" cy="2103755"/>
            <wp:effectExtent l="0" t="0" r="10795" b="10795"/>
            <wp:docPr id="11" name="图片 11" descr="二维码_挂牌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二维码_挂牌文件"/>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103755" cy="2103755"/>
                    </a:xfrm>
                    <a:prstGeom prst="rect">
                      <a:avLst/>
                    </a:prstGeom>
                    <a:noFill/>
                    <a:ln>
                      <a:noFill/>
                    </a:ln>
                  </pic:spPr>
                </pic:pic>
              </a:graphicData>
            </a:graphic>
          </wp:inline>
        </w:drawing>
      </w:r>
    </w:p>
    <w:p>
      <w:pPr>
        <w:spacing w:before="78" w:beforeLines="25" w:after="156" w:afterLines="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图1挂牌文件二维码</w:t>
      </w:r>
    </w:p>
    <w:p>
      <w:pPr>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网站成交结果的展示示例如下所示：</w:t>
      </w:r>
    </w:p>
    <w:p>
      <w:pPr>
        <w:rPr>
          <w:rFonts w:ascii="宋体" w:hAnsi="宋体"/>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0" distR="0">
            <wp:extent cx="5271770" cy="3506470"/>
            <wp:effectExtent l="0" t="0" r="5080" b="177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271770" cy="3506470"/>
                    </a:xfrm>
                    <a:prstGeom prst="rect">
                      <a:avLst/>
                    </a:prstGeom>
                    <a:noFill/>
                    <a:ln>
                      <a:noFill/>
                    </a:ln>
                  </pic:spPr>
                </pic:pic>
              </a:graphicData>
            </a:graphic>
          </wp:inline>
        </w:drawing>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3、统计分析</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对交易数据、交易结果数据等进行统计分析，包括按月度、季度、年度统计出让数据、在公告未成交数据等。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3.1、交易数据统计</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主要依托出让公告，对各类交易数据进行统计分析。统计的数据项包括：发布日期、挂牌起始价、土地用途、土地面积、挂牌截止日期、交易机构名称等。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统计结果以数据统计表和统计图的方式进行呈现。</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3.2、交易结果统计</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依托成交公告，完成各类交易结果的统计分析。统计的数据项包括成交日期、成交金额、溢价额、土地用途、出让面积、交易机构名称等。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统计结果以数据统计表和统计图的方式进行呈现。</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4、接口管理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对本系统与外部系统对接的接口进行管理和监控。主要包括数据传输接口和接口日志管理功能。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需要对接的外部系统包括如下四个：</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天津公共资源交易中心网站</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天津公共资源交易网</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预留：北京市、河北省公共资源交易数据传输接口。</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预留: 天津市规划和自然资源局管理部门接口</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4.1、数据传输接口</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根据约定的数据推送规则，开发专门的数据传输接口，向公共资源交易中心网站等四个外部系统推送和接收相关公告公示数据。</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推送至天津市公共资源交易中心网站的数据，既包括土地交易的全部格式化数据，也包括公告的详细内容。推送后形成对外展示公告的网页，并返回网页的网址作为该公告的唯一链接；</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推送至天津市公共资源交易网的数据，包括土地交易的全部格式化数据，以及该公告的链接（点击后跳转到天津市公共资源交易中心网站的对应网页）；</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推送至北京市、河北省的土地交易数据接口数据，包括土地交易的项目编号、宗地名称和该公告的链接（点击后跳转到天津市公共资源交易中心网站的对应网页）。</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接收天津市规划和自然资源局管理部门的公告数据。</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4.2、接口日志管理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可浏览和查询接口传输日志记录，方便监测接口运行状态，查询和回溯接口传输记录。</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5、系统管理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对交易管理部门的用户进行维护管理，包括用户的添加、修改、删除和列表、查看等功能。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通过权限管理，实现不同业务人员对功能模块的自定义管理功能。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（三）数据需求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对土地交易的三种公告（出让公告、补充公告、成交公告）的数据进行发布，并最终推送公告到天津市公共资源交易中心网站、天津公共资源交易网，并能够与北京市、河北省公共资源交易网站数据双向推送。</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（四）性能需求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在网络稳定的环境下，操作性界面单一操作的系统响应时间小于2秒；统计界面的系统响应时间小于5秒；</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 xml:space="preserve">系统并发访问用户数支持100以上的访问请求，动态支持水平扩展； </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页面及正文页的响应速度在2秒以内。单个用户登录页面的平均时间小于2秒，单个公告发布的平均时间小于4秒;</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支持初始数据量20万记录数以上，支持年数据量为100万记录数、10GB字节的数据量；</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系统提供7×24小时的连续运行，平均年故障时间＜4个小时，平均故障修复时间＜60分钟。</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（五）安全需求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系统的安全等级需符合《信息安全技术网络安全等级保护基本要求》（GB-T 22239-2019）中规定的第二级安全要求相关标准，建立与系统安全等级相匹配的身份鉴别、访问控制、安全审计、入侵防范、恶意代码防范、可信验证、数据完整性、数据备份恢复、剩余信息保护、个人信息保护功能。建成系统经检测不得存在《信息安全技术安全漏洞等级划分指南》（GB/T 30279-2013）规定的中危及以上安全漏洞。</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三、建设目标</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次系统建设采取整体规划、分步实施的方式来建设，基于打造安全、高效、便捷的土地交易业务系统，坚守“公开、公平、公正”原则，更好地满足用户需求；采用安全、先进、可靠的技术路线，实现信息发布的要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实现全流程、多方位、自动化、数字化的土地交易管理信息系统，加快土地交易业务部门的信息系统建设的进程。加快推进京津冀三地土地交易信息互联共享，提升业务工作的便捷、高效，使用信息化手段提升数据统计分析。</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四、建设方案</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（一）建设原则</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设计、建设时，采取整体规划、分步实施的方式来建设，基于打造安全、高效、便捷的土地交易业务系统，坚守“公开、公平、公正”原则，更好地满足用户需求；采用安全、先进、可靠的技术路线，实现信息发布的要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（二）设计依据</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按照国土资源部关于开展国有建设用地使用权网上交易试点工作的意见、中共国土资源部党组关于国土资源系统开展“两整治一改革”专项行动的通知（国土资党发[2010]45号）等文件的要求，结合交易中心工作实际，拟建设土地交易信息发布系统，提升信息发布的便捷性、时效性。</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 xml:space="preserve">（三）总体建设任务与分期建设内容 </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总体建设任务为初步搭建土地交易项目的发布和管理系统，按照约定的推送规则，将公告推送至公共资源交易中心网站、天津公共资源交易网。后续按照工作进度，逐步实现与北京市、河北省公共资源交易网站数据双向推送。</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（四）总体框架</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本项目依托现有的网站框架，在原框架基础上进行扩展开发，包括前端页面的扩展开发和后台管理模块的扩展开发两部分。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1、软件体系架构</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系统采用目前流行的B/S（浏览器/服务器）多层体系架构，基于微软公司的.NET 4.5。技术体系基于目前先进且运行稳定的ASP.NET 4.5（C#）+DHTML（JQuery2.1.4）+XML（可扩展标记语言）+ Microsoft SQLServer2014（网络数据库），Framework4.5，集成Ajax（交互式网页应用开发）技术。</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（五）技术方案</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应用软件开发</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 软件功能设计</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下图为本业务系统的功能体系示意图：</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object>
          <v:shape id="_x0000_i1030" o:spt="75" type="#_x0000_t75" style="height:543.55pt;width:414.75pt;" o:ole="t" filled="f" o:preferrelative="t" stroked="f" coordsize="21600,21600">
            <v:path/>
            <v:fill on="f" focussize="0,0"/>
            <v:stroke on="f" joinstyle="miter"/>
            <v:imagedata r:id="rId24" o:title=""/>
            <o:lock v:ext="edit" aspectratio="t"/>
            <w10:wrap type="none"/>
            <w10:anchorlock/>
          </v:shape>
          <o:OLEObject Type="Embed" ProgID="Visio.Drawing.15" ShapeID="_x0000_i1030" DrawAspect="Content" ObjectID="_1468075730" r:id="rId23">
            <o:LockedField>false</o:LockedField>
          </o:OLEObject>
        </w:object>
      </w:r>
    </w:p>
    <w:p>
      <w:pPr>
        <w:spacing w:before="78" w:beforeLines="25" w:after="156" w:afterLines="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图2</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系统总体功能体系示意图</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1.2 开发方法、开发环境、开发技术</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应采用符合相关国家标准的软件开发规范,在整个开发流程中严格贯彻各项准则和软件工程要求，同时在从需求分析、概要设计、详细设计、测试到实施的全过程中，严格对每一个环节进行质量评审，确保最终软件系统满足需求规范的要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2、安全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本系统需符合《信息安全技术网络安全等级保护基本要求》（GB-T 22239-2019）中规定的第二级安全要求相关标准。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2.1 物理安全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本项目在网站服务器上增加部署软件模块，物理安全方案遵从网站总体物理安全的要求。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2.2 网络安全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隔离和访问控制</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通过严格落实相关管理制度，如口令字及帐户管理规范、权限管理制度，加强访问控制的安全。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2.3 主机系统安全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应加强主机的安全配置、关闭一些不常用却存在安全隐患的应用、对一些保存有用户信息及其口令的关键文件使用权限进行严格限制；加强口令字的使用（增加口令复杂程度、不要使用与用户身份有关的、容易猜测的信息作为口令、定期修改口令），并及时给系统打补丁、系统内部的相互调用不对外公开。</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2.4 应用安全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在应用系统安全上，应用服务器尽量不要开放一些没有经常用的协议端口号,如文件服务、电子邮件服务器等应用系统；</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关闭服务器上如FTP、TELNET、RLOGIN等服务；</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加强登录身份认证，确保用户使用的合法性；</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充分利用操作系统和应用系统本身的日志功能，对用户所访问的信息做记录，为事后审查提供依据。</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2.5 数据安全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包括数据库系统信息的安全、文件系统的安全、内容用户的身份识别、口令识别、用户角色、用户帐号的存取权限、数据库读写权限以及数据库的备份、故障与审计跟踪等。具体措施包括：</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数据加密存储</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系统中的核心关键数据，如口令字需要进行加密存储，这样即使黑客入侵到数据库级别，也能对数据安全起到安全防护作用。对于敏感数据。</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安全的数据传输</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防止重要数据不会被黑客非法截取，保证数据传输的安全性，重要的数据传输需要采用安全的传输协议，保证重要数据是在加密状态下进行传输。</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3、存储备份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对数据服务器中的数据库进行安全备份，制订安全备份计划和备份方案。</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五、项目实施保障措施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（一）实施进度</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本项目开发、实施计划总历时2个月（45个工作日）, 工作计划及各阶段的交付物如下图所示：</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object>
          <v:shape id="_x0000_i1031" o:spt="75" type="#_x0000_t75" style="height:192.7pt;width:414.75pt;" o:ole="t" filled="f" o:preferrelative="t" stroked="f" coordsize="21600,21600">
            <v:path/>
            <v:fill on="f" focussize="0,0"/>
            <v:stroke on="f" joinstyle="miter"/>
            <v:imagedata r:id="rId20" o:title=""/>
            <o:lock v:ext="edit" aspectratio="t"/>
            <w10:wrap type="none"/>
            <w10:anchorlock/>
          </v:shape>
          <o:OLEObject Type="Embed" ProgID="Visio.Drawing.15" ShapeID="_x0000_i1031" DrawAspect="Content" ObjectID="_1468075731" r:id="rId25">
            <o:LockedField>false</o:LockedField>
          </o:OLEObject>
        </w:object>
      </w:r>
    </w:p>
    <w:p>
      <w:pPr>
        <w:spacing w:before="78" w:beforeLines="25" w:after="156" w:afterLines="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图3 实施进度及交付物流程示意图</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（二）相关保障措施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1、质量保障措施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开发单位应采取项目经理综合管理和统一指挥形式，委派经验丰富、优秀的开发人员、技术骨干组成开发项目小组，进行全面质量管理、全面协调，形成强有力的管理机构。</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项目经理为工程质量第一质量责任人，对本项目的质量体系正确有效运作负责；工作组成员应掌握开发工作各项质量要求、标准，严格按照用户方制定的各项管理制度、开发规范和安全技术措施完成各项任务。</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2、进度保障措施</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2.1 严格按照开发进度计划的要求，将各工作阶段的工作任务和责任落实到开发、测试人员，并及时执行监督检查；</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2.2建立可行的进度控制工作体系，包括例会制度（技术会议、协调会议）、各类文件审核程序及时间限制等；</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2.3 在开发阶段的各个里程碑节点到来时，检查相应阶段的交付物是否完备，阶段成果是否满足工作质量和计划进度的要求；</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2.4 建立必要的变更控制规范，一旦需求发生变更或遭遇不可抗力，各方应遵循事先建立的变更程序，及时审核和批准变更。</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六、验收考核指标</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1、功能验收标准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按照需求规格说明书的要求，完成全部合同约定的功能。对于中途出现变更的功能，按照变更控制的要求，完成功能变更的开发。</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2、性能验收标准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本项目涉及的功能运行稳定，达到需求规格说明书要求的运行性能水平。</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3、操作标准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在可控范围内考虑用户体验，依据网站整体风格进行各项操作界面的交互设计，包括表单录入、修改、在线编辑，以及对话、提示等交互内容。</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4、文档标准</w:t>
      </w: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所提供的文档内容应能清晰全面地描述软件安装、部署、使用和维护的相关信息，并易于管理人员理解和操作。</w:t>
      </w:r>
    </w:p>
    <w:p>
      <w:pPr>
        <w:spacing w:line="360" w:lineRule="auto"/>
        <w:ind w:firstLine="480" w:firstLineChars="200"/>
        <w:outlineLvl w:val="0"/>
        <w:rPr>
          <w:rFonts w:hint="default"/>
          <w:color w:val="000000" w:themeColor="text1"/>
          <w:sz w:val="24"/>
          <w:highlight w:val="none"/>
          <w:lang w:val="en-US" w:eastAsia="zh-CN"/>
          <w14:textFill>
            <w14:solidFill>
              <w14:schemeClr w14:val="tx1"/>
            </w14:solidFill>
          </w14:textFill>
        </w:rPr>
      </w:pP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p>
    <w:p>
      <w:pPr>
        <w:spacing w:line="360" w:lineRule="auto"/>
        <w:ind w:firstLine="480" w:firstLineChars="200"/>
        <w:outlineLvl w:val="0"/>
        <w:rPr>
          <w:rFonts w:hint="eastAsia"/>
          <w:color w:val="000000" w:themeColor="text1"/>
          <w:sz w:val="24"/>
          <w:highlight w:val="none"/>
          <w:lang w:val="en-US" w:eastAsia="zh-CN"/>
          <w14:textFill>
            <w14:solidFill>
              <w14:schemeClr w14:val="tx1"/>
            </w14:solidFill>
          </w14:textFill>
        </w:rPr>
      </w:pPr>
    </w:p>
    <w:p>
      <w:pPr>
        <w:spacing w:line="360" w:lineRule="auto"/>
        <w:ind w:firstLine="480" w:firstLineChars="200"/>
        <w:rPr>
          <w:rFonts w:cs="Times New Roman" w:asciiTheme="minorEastAsia" w:hAnsiTheme="minorEastAsia"/>
          <w:color w:val="000000" w:themeColor="text1"/>
          <w:sz w:val="24"/>
          <w:highlight w:val="none"/>
          <w14:textFill>
            <w14:solidFill>
              <w14:schemeClr w14:val="tx1"/>
            </w14:solidFill>
          </w14:textFill>
        </w:rPr>
      </w:pP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p>
    <w:p>
      <w:pPr>
        <w:widowControl/>
        <w:ind w:firstLine="480" w:firstLineChars="200"/>
        <w:jc w:val="left"/>
        <w:rPr>
          <w:bCs/>
          <w:color w:val="000000" w:themeColor="text1"/>
          <w:sz w:val="24"/>
          <w:highlight w:val="none"/>
          <w14:textFill>
            <w14:solidFill>
              <w14:schemeClr w14:val="tx1"/>
            </w14:solidFill>
          </w14:textFill>
        </w:rPr>
      </w:pPr>
    </w:p>
    <w:p>
      <w:pPr>
        <w:widowControl/>
        <w:ind w:firstLine="480" w:firstLineChars="200"/>
        <w:jc w:val="left"/>
        <w:rPr>
          <w:bCs/>
          <w:color w:val="000000" w:themeColor="text1"/>
          <w:sz w:val="24"/>
          <w:highlight w:val="none"/>
          <w14:textFill>
            <w14:solidFill>
              <w14:schemeClr w14:val="tx1"/>
            </w14:solidFill>
          </w14:textFill>
        </w:rPr>
      </w:pPr>
    </w:p>
    <w:p>
      <w:pPr>
        <w:widowControl/>
        <w:ind w:firstLine="480" w:firstLineChars="200"/>
        <w:jc w:val="left"/>
        <w:rPr>
          <w:bCs/>
          <w:color w:val="000000" w:themeColor="text1"/>
          <w:sz w:val="24"/>
          <w:highlight w:val="none"/>
          <w14:textFill>
            <w14:solidFill>
              <w14:schemeClr w14:val="tx1"/>
            </w14:solidFill>
          </w14:textFill>
        </w:rPr>
      </w:pPr>
    </w:p>
    <w:p>
      <w:pPr>
        <w:widowControl/>
        <w:ind w:firstLine="480" w:firstLineChars="200"/>
        <w:jc w:val="left"/>
        <w:rPr>
          <w:bCs/>
          <w:color w:val="000000" w:themeColor="text1"/>
          <w:sz w:val="24"/>
          <w:highlight w:val="none"/>
          <w14:textFill>
            <w14:solidFill>
              <w14:schemeClr w14:val="tx1"/>
            </w14:solidFill>
          </w14:textFill>
        </w:rPr>
      </w:pPr>
    </w:p>
    <w:p>
      <w:pPr>
        <w:widowControl/>
        <w:ind w:firstLine="480" w:firstLineChars="200"/>
        <w:jc w:val="left"/>
        <w:rPr>
          <w:bCs/>
          <w:color w:val="000000" w:themeColor="text1"/>
          <w:sz w:val="24"/>
          <w:highlight w:val="none"/>
          <w14:textFill>
            <w14:solidFill>
              <w14:schemeClr w14:val="tx1"/>
            </w14:solidFill>
          </w14:textFill>
        </w:rPr>
      </w:pPr>
    </w:p>
    <w:p>
      <w:pPr>
        <w:widowControl/>
        <w:ind w:firstLine="480" w:firstLineChars="200"/>
        <w:jc w:val="left"/>
        <w:rPr>
          <w:bCs/>
          <w:color w:val="000000" w:themeColor="text1"/>
          <w:sz w:val="24"/>
          <w:highlight w:val="none"/>
          <w14:textFill>
            <w14:solidFill>
              <w14:schemeClr w14:val="tx1"/>
            </w14:solidFill>
          </w14:textFill>
        </w:rPr>
      </w:pPr>
    </w:p>
    <w:p>
      <w:pPr>
        <w:widowControl/>
        <w:jc w:val="left"/>
        <w:rPr>
          <w:rFonts w:ascii="宋体" w:hAnsi="宋体"/>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autoSpaceDE w:val="0"/>
        <w:autoSpaceDN w:val="0"/>
        <w:adjustRightInd w:val="0"/>
        <w:spacing w:line="360" w:lineRule="auto"/>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C． 合同条款</w:t>
      </w:r>
    </w:p>
    <w:p>
      <w:pPr>
        <w:tabs>
          <w:tab w:val="left" w:pos="412"/>
          <w:tab w:val="left" w:pos="618"/>
        </w:tabs>
        <w:spacing w:line="520" w:lineRule="exact"/>
        <w:jc w:val="center"/>
        <w:rPr>
          <w:b/>
          <w:color w:val="000000" w:themeColor="text1"/>
          <w:sz w:val="30"/>
          <w:szCs w:val="30"/>
          <w:highlight w:val="none"/>
          <w14:textFill>
            <w14:solidFill>
              <w14:schemeClr w14:val="tx1"/>
            </w14:solidFill>
          </w14:textFill>
        </w:rPr>
      </w:pPr>
      <w:r>
        <w:rPr>
          <w:b/>
          <w:color w:val="000000" w:themeColor="text1"/>
          <w:sz w:val="30"/>
          <w:szCs w:val="30"/>
          <w:highlight w:val="none"/>
          <w14:textFill>
            <w14:solidFill>
              <w14:schemeClr w14:val="tx1"/>
            </w14:solidFill>
          </w14:textFill>
        </w:rPr>
        <w:t>合同一般条款</w:t>
      </w:r>
    </w:p>
    <w:p>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需方：  </w:t>
      </w:r>
    </w:p>
    <w:p>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供方： </w:t>
      </w:r>
    </w:p>
    <w:p>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供、需双方根据   项目（项目编号：TGPC-201 - ）的政府采购结果和</w:t>
      </w:r>
      <w:r>
        <w:rPr>
          <w:rFonts w:hint="eastAsia"/>
          <w:color w:val="000000" w:themeColor="text1"/>
          <w:sz w:val="24"/>
          <w:szCs w:val="24"/>
          <w:highlight w:val="none"/>
          <w14:textFill>
            <w14:solidFill>
              <w14:schemeClr w14:val="tx1"/>
            </w14:solidFill>
          </w14:textFill>
        </w:rPr>
        <w:t>单一来源采购文件</w:t>
      </w:r>
      <w:r>
        <w:rPr>
          <w:color w:val="000000" w:themeColor="text1"/>
          <w:sz w:val="24"/>
          <w:szCs w:val="24"/>
          <w:highlight w:val="none"/>
          <w14:textFill>
            <w14:solidFill>
              <w14:schemeClr w14:val="tx1"/>
            </w14:solidFill>
          </w14:textFill>
        </w:rPr>
        <w:t>的要求，并经双方协商一致，达成  合同：</w:t>
      </w:r>
    </w:p>
    <w:p>
      <w:pPr>
        <w:pStyle w:val="93"/>
        <w:numPr>
          <w:ilvl w:val="0"/>
          <w:numId w:val="12"/>
        </w:numPr>
        <w:spacing w:line="480" w:lineRule="exact"/>
        <w:ind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本合同为中小企业预留合同</w:t>
      </w:r>
    </w:p>
    <w:p>
      <w:pPr>
        <w:pStyle w:val="93"/>
        <w:numPr>
          <w:ilvl w:val="0"/>
          <w:numId w:val="12"/>
        </w:numPr>
        <w:spacing w:line="480" w:lineRule="exact"/>
        <w:ind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本合同非中小企业预留合同</w:t>
      </w:r>
    </w:p>
    <w:p>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pPr>
        <w:tabs>
          <w:tab w:val="left" w:pos="1133"/>
        </w:tabs>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一、采购内容：  （详见附件）</w:t>
      </w:r>
    </w:p>
    <w:p>
      <w:pPr>
        <w:tabs>
          <w:tab w:val="left" w:pos="1133"/>
        </w:tabs>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合同总价款：人民币  元</w:t>
      </w:r>
    </w:p>
    <w:p>
      <w:pPr>
        <w:tabs>
          <w:tab w:val="left" w:pos="1133"/>
        </w:tabs>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大写：人民币  元整</w:t>
      </w:r>
    </w:p>
    <w:p>
      <w:pPr>
        <w:tabs>
          <w:tab w:val="left" w:pos="360"/>
        </w:tabs>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二、质量要求及对质量负责条件和期限：见附件。</w:t>
      </w:r>
    </w:p>
    <w:p>
      <w:pPr>
        <w:tabs>
          <w:tab w:val="left" w:pos="360"/>
        </w:tabs>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三、供方所提供的服务必须具有合法手续及相关文件。如涉及知识产权则必须是自己拥有或合法使用的。</w:t>
      </w:r>
    </w:p>
    <w:p>
      <w:pPr>
        <w:tabs>
          <w:tab w:val="left" w:pos="360"/>
        </w:tabs>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四、</w:t>
      </w:r>
      <w:r>
        <w:rPr>
          <w:rFonts w:hint="eastAsia"/>
          <w:color w:val="000000" w:themeColor="text1"/>
          <w:sz w:val="24"/>
          <w:szCs w:val="24"/>
          <w:highlight w:val="none"/>
          <w14:textFill>
            <w14:solidFill>
              <w14:schemeClr w14:val="tx1"/>
            </w14:solidFill>
          </w14:textFill>
        </w:rPr>
        <w:t>服务</w:t>
      </w:r>
      <w:r>
        <w:rPr>
          <w:color w:val="000000" w:themeColor="text1"/>
          <w:sz w:val="24"/>
          <w:szCs w:val="24"/>
          <w:highlight w:val="none"/>
          <w14:textFill>
            <w14:solidFill>
              <w14:schemeClr w14:val="tx1"/>
            </w14:solidFill>
          </w14:textFill>
        </w:rPr>
        <w:t>时间、地点、方式：见附件。</w:t>
      </w:r>
    </w:p>
    <w:p>
      <w:pPr>
        <w:tabs>
          <w:tab w:val="left" w:pos="360"/>
        </w:tabs>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五、供方应随</w:t>
      </w:r>
      <w:r>
        <w:rPr>
          <w:rFonts w:hint="eastAsia"/>
          <w:color w:val="000000" w:themeColor="text1"/>
          <w:sz w:val="24"/>
          <w:szCs w:val="24"/>
          <w:highlight w:val="none"/>
          <w14:textFill>
            <w14:solidFill>
              <w14:schemeClr w14:val="tx1"/>
            </w14:solidFill>
          </w14:textFill>
        </w:rPr>
        <w:t>服务</w:t>
      </w:r>
      <w:r>
        <w:rPr>
          <w:color w:val="000000" w:themeColor="text1"/>
          <w:sz w:val="24"/>
          <w:szCs w:val="24"/>
          <w:highlight w:val="none"/>
          <w14:textFill>
            <w14:solidFill>
              <w14:schemeClr w14:val="tx1"/>
            </w14:solidFill>
          </w14:textFill>
        </w:rPr>
        <w:t>向需方交付的相关资料。如果所提交文件是外文的，供方有义务为需方提供中文或译成中文文件。</w:t>
      </w:r>
    </w:p>
    <w:p>
      <w:pPr>
        <w:tabs>
          <w:tab w:val="left" w:pos="360"/>
          <w:tab w:val="left" w:pos="721"/>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六、验收工作由需方负责对合同进行验收。</w:t>
      </w:r>
    </w:p>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七、货款支付方式：见附件。</w:t>
      </w:r>
    </w:p>
    <w:p>
      <w:pPr>
        <w:tabs>
          <w:tab w:val="left" w:pos="0"/>
          <w:tab w:val="left" w:pos="721"/>
        </w:tabs>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供方开户银行（汉字全称）：</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w:t>
      </w:r>
    </w:p>
    <w:p>
      <w:pPr>
        <w:tabs>
          <w:tab w:val="left" w:pos="0"/>
          <w:tab w:val="left" w:pos="721"/>
        </w:tabs>
        <w:spacing w:line="520" w:lineRule="exact"/>
        <w:ind w:firstLine="513" w:firstLineChars="214"/>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行号（数字代码）：</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w:t>
      </w:r>
    </w:p>
    <w:p>
      <w:pPr>
        <w:tabs>
          <w:tab w:val="left" w:pos="0"/>
          <w:tab w:val="left" w:pos="721"/>
        </w:tabs>
        <w:spacing w:line="520" w:lineRule="exact"/>
        <w:ind w:firstLine="513" w:firstLineChars="214"/>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帐       号：</w:t>
      </w:r>
      <w:r>
        <w:rPr>
          <w:color w:val="000000" w:themeColor="text1"/>
          <w:sz w:val="24"/>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w:t>
      </w:r>
    </w:p>
    <w:p>
      <w:pPr>
        <w:tabs>
          <w:tab w:val="left" w:pos="360"/>
        </w:tabs>
        <w:spacing w:line="52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八</w:t>
      </w:r>
      <w:r>
        <w:rPr>
          <w:color w:val="000000" w:themeColor="text1"/>
          <w:sz w:val="24"/>
          <w:szCs w:val="24"/>
          <w:highlight w:val="none"/>
          <w14:textFill>
            <w14:solidFill>
              <w14:schemeClr w14:val="tx1"/>
            </w14:solidFill>
          </w14:textFill>
        </w:rPr>
        <w:t>、有关涉及本合同供方向天津市政府采购中心所提交的</w:t>
      </w:r>
      <w:r>
        <w:rPr>
          <w:rFonts w:hint="eastAsia"/>
          <w:color w:val="000000" w:themeColor="text1"/>
          <w:sz w:val="24"/>
          <w:szCs w:val="24"/>
          <w:highlight w:val="none"/>
          <w14:textFill>
            <w14:solidFill>
              <w14:schemeClr w14:val="tx1"/>
            </w14:solidFill>
          </w14:textFill>
        </w:rPr>
        <w:t>响应</w:t>
      </w:r>
      <w:r>
        <w:rPr>
          <w:color w:val="000000" w:themeColor="text1"/>
          <w:sz w:val="24"/>
          <w:szCs w:val="24"/>
          <w:highlight w:val="none"/>
          <w14:textFill>
            <w14:solidFill>
              <w14:schemeClr w14:val="tx1"/>
            </w14:solidFill>
          </w14:textFill>
        </w:rPr>
        <w:t>文件及有关澄清资料和服务承诺均视为本合同不可分割的部分，对供方具有约束力。</w:t>
      </w:r>
    </w:p>
    <w:p>
      <w:pPr>
        <w:tabs>
          <w:tab w:val="left" w:pos="0"/>
          <w:tab w:val="left" w:pos="315"/>
        </w:tabs>
        <w:spacing w:line="52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九</w:t>
      </w:r>
      <w:r>
        <w:rPr>
          <w:color w:val="000000" w:themeColor="text1"/>
          <w:sz w:val="24"/>
          <w:szCs w:val="24"/>
          <w:highlight w:val="none"/>
          <w14:textFill>
            <w14:solidFill>
              <w14:schemeClr w14:val="tx1"/>
            </w14:solidFill>
          </w14:textFill>
        </w:rPr>
        <w:t>、本合同一式   份，需方留存   份，供方留存   份，均具同等效力，签字盖章后生效。</w:t>
      </w:r>
    </w:p>
    <w:tbl>
      <w:tblPr>
        <w:tblStyle w:val="34"/>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tcPr>
          <w:p>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供方（公章）： </w:t>
            </w:r>
          </w:p>
        </w:tc>
        <w:tc>
          <w:tcPr>
            <w:tcW w:w="4261" w:type="dxa"/>
          </w:tcPr>
          <w:p>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需方（公章）： </w:t>
            </w:r>
          </w:p>
        </w:tc>
      </w:tr>
      <w:tr>
        <w:tblPrEx>
          <w:tblCellMar>
            <w:top w:w="0" w:type="dxa"/>
            <w:left w:w="108" w:type="dxa"/>
            <w:bottom w:w="0" w:type="dxa"/>
            <w:right w:w="108" w:type="dxa"/>
          </w:tblCellMar>
        </w:tblPrEx>
        <w:tc>
          <w:tcPr>
            <w:tcW w:w="4261" w:type="dxa"/>
          </w:tcPr>
          <w:p>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地址：  </w:t>
            </w:r>
          </w:p>
        </w:tc>
        <w:tc>
          <w:tcPr>
            <w:tcW w:w="4261" w:type="dxa"/>
          </w:tcPr>
          <w:p>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地址： </w:t>
            </w:r>
          </w:p>
        </w:tc>
      </w:tr>
      <w:tr>
        <w:tblPrEx>
          <w:tblCellMar>
            <w:top w:w="0" w:type="dxa"/>
            <w:left w:w="108" w:type="dxa"/>
            <w:bottom w:w="0" w:type="dxa"/>
            <w:right w:w="108" w:type="dxa"/>
          </w:tblCellMar>
        </w:tblPrEx>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法定代表人： </w:t>
            </w:r>
          </w:p>
        </w:tc>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法定代表人： </w:t>
            </w:r>
          </w:p>
        </w:tc>
      </w:tr>
      <w:tr>
        <w:tblPrEx>
          <w:tblCellMar>
            <w:top w:w="0" w:type="dxa"/>
            <w:left w:w="108" w:type="dxa"/>
            <w:bottom w:w="0" w:type="dxa"/>
            <w:right w:w="108" w:type="dxa"/>
          </w:tblCellMar>
        </w:tblPrEx>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委托代理人： </w:t>
            </w:r>
          </w:p>
        </w:tc>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委托代理人： </w:t>
            </w:r>
          </w:p>
        </w:tc>
      </w:tr>
      <w:tr>
        <w:tblPrEx>
          <w:tblCellMar>
            <w:top w:w="0" w:type="dxa"/>
            <w:left w:w="108" w:type="dxa"/>
            <w:bottom w:w="0" w:type="dxa"/>
            <w:right w:w="108" w:type="dxa"/>
          </w:tblCellMar>
        </w:tblPrEx>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电话：</w:t>
            </w:r>
          </w:p>
        </w:tc>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电话：</w:t>
            </w:r>
          </w:p>
        </w:tc>
      </w:tr>
    </w:tbl>
    <w:p>
      <w:pPr>
        <w:rPr>
          <w:color w:val="000000" w:themeColor="text1"/>
          <w:sz w:val="24"/>
          <w:szCs w:val="24"/>
          <w:highlight w:val="none"/>
          <w14:textFill>
            <w14:solidFill>
              <w14:schemeClr w14:val="tx1"/>
            </w14:solidFill>
          </w14:textFill>
        </w:rPr>
      </w:pPr>
    </w:p>
    <w:p>
      <w:pPr>
        <w:rPr>
          <w:color w:val="000000" w:themeColor="text1"/>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时间：20</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年  月  日</w:t>
      </w:r>
    </w:p>
    <w:p>
      <w:pPr>
        <w:jc w:val="center"/>
        <w:rPr>
          <w:b/>
          <w:color w:val="000000" w:themeColor="text1"/>
          <w:sz w:val="30"/>
          <w:szCs w:val="30"/>
          <w:highlight w:val="none"/>
          <w14:textFill>
            <w14:solidFill>
              <w14:schemeClr w14:val="tx1"/>
            </w14:solidFill>
          </w14:textFill>
        </w:rPr>
      </w:pPr>
      <w:r>
        <w:rPr>
          <w:b/>
          <w:color w:val="000000" w:themeColor="text1"/>
          <w:sz w:val="30"/>
          <w:szCs w:val="30"/>
          <w:highlight w:val="none"/>
          <w14:textFill>
            <w14:solidFill>
              <w14:schemeClr w14:val="tx1"/>
            </w14:solidFill>
          </w14:textFill>
        </w:rPr>
        <w:br w:type="page"/>
      </w:r>
      <w:r>
        <w:rPr>
          <w:b/>
          <w:color w:val="000000" w:themeColor="text1"/>
          <w:sz w:val="30"/>
          <w:szCs w:val="30"/>
          <w:highlight w:val="none"/>
          <w14:textFill>
            <w14:solidFill>
              <w14:schemeClr w14:val="tx1"/>
            </w14:solidFill>
          </w14:textFill>
        </w:rPr>
        <w:t>合同特殊条款</w:t>
      </w:r>
    </w:p>
    <w:p>
      <w:pPr>
        <w:tabs>
          <w:tab w:val="left" w:pos="360"/>
        </w:tabs>
        <w:spacing w:line="520" w:lineRule="exact"/>
        <w:ind w:firstLine="410" w:firstLineChars="171"/>
        <w:rPr>
          <w:color w:val="000000" w:themeColor="text1"/>
          <w:sz w:val="24"/>
          <w:szCs w:val="24"/>
          <w:highlight w:val="none"/>
          <w14:textFill>
            <w14:solidFill>
              <w14:schemeClr w14:val="tx1"/>
            </w14:solidFill>
          </w14:textFill>
        </w:rPr>
      </w:pPr>
    </w:p>
    <w:p>
      <w:pPr>
        <w:tabs>
          <w:tab w:val="left" w:pos="360"/>
        </w:tabs>
        <w:spacing w:line="520" w:lineRule="exact"/>
        <w:ind w:firstLine="410"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合同特殊条款是合同一般条款的补充和修改。如果两者之间有抵触，应以特殊条款为准。</w:t>
      </w:r>
    </w:p>
    <w:p>
      <w:pPr>
        <w:tabs>
          <w:tab w:val="left" w:pos="360"/>
        </w:tabs>
        <w:spacing w:line="520" w:lineRule="exact"/>
        <w:ind w:firstLine="410"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合同特殊条款由</w:t>
      </w:r>
      <w:r>
        <w:rPr>
          <w:rFonts w:hint="eastAsia"/>
          <w:color w:val="000000" w:themeColor="text1"/>
          <w:sz w:val="24"/>
          <w:szCs w:val="24"/>
          <w:highlight w:val="none"/>
          <w14:textFill>
            <w14:solidFill>
              <w14:schemeClr w14:val="tx1"/>
            </w14:solidFill>
          </w14:textFill>
        </w:rPr>
        <w:t>供方</w:t>
      </w:r>
      <w:r>
        <w:rPr>
          <w:color w:val="000000" w:themeColor="text1"/>
          <w:sz w:val="24"/>
          <w:szCs w:val="24"/>
          <w:highlight w:val="none"/>
          <w14:textFill>
            <w14:solidFill>
              <w14:schemeClr w14:val="tx1"/>
            </w14:solidFill>
          </w14:textFill>
        </w:rPr>
        <w:t>和需方根据项目的具体情况协商拟订。</w:t>
      </w:r>
    </w:p>
    <w:p>
      <w:pPr>
        <w:tabs>
          <w:tab w:val="left" w:pos="360"/>
        </w:tabs>
        <w:spacing w:line="520" w:lineRule="exact"/>
        <w:ind w:firstLine="410" w:firstLineChars="171"/>
        <w:rPr>
          <w:color w:val="000000" w:themeColor="text1"/>
          <w:sz w:val="24"/>
          <w:szCs w:val="24"/>
          <w:highlight w:val="none"/>
          <w14:textFill>
            <w14:solidFill>
              <w14:schemeClr w14:val="tx1"/>
            </w14:solidFill>
          </w14:textFill>
        </w:rPr>
      </w:pPr>
    </w:p>
    <w:p>
      <w:pPr>
        <w:widowControl/>
        <w:jc w:val="left"/>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br w:type="page"/>
      </w:r>
    </w:p>
    <w:p>
      <w:pPr>
        <w:spacing w:line="36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D.响应文件格式</w:t>
      </w:r>
    </w:p>
    <w:p>
      <w:pPr>
        <w:autoSpaceDN w:val="0"/>
        <w:spacing w:line="360" w:lineRule="auto"/>
        <w:jc w:val="center"/>
        <w:rPr>
          <w:b/>
          <w:bCs/>
          <w:color w:val="000000" w:themeColor="text1"/>
          <w:sz w:val="24"/>
          <w:highlight w:val="none"/>
          <w14:textFill>
            <w14:solidFill>
              <w14:schemeClr w14:val="tx1"/>
            </w14:solidFill>
          </w14:textFill>
        </w:rPr>
      </w:pPr>
    </w:p>
    <w:p>
      <w:pPr>
        <w:autoSpaceDE w:val="0"/>
        <w:autoSpaceDN w:val="0"/>
        <w:adjustRightInd w:val="0"/>
        <w:spacing w:line="520" w:lineRule="exact"/>
        <w:rPr>
          <w:color w:val="000000" w:themeColor="text1"/>
          <w:highlight w:val="none"/>
          <w14:textFill>
            <w14:solidFill>
              <w14:schemeClr w14:val="tx1"/>
            </w14:solidFill>
          </w14:textFill>
        </w:rPr>
      </w:pPr>
    </w:p>
    <w:p>
      <w:pPr>
        <w:autoSpaceDE w:val="0"/>
        <w:autoSpaceDN w:val="0"/>
        <w:adjustRightInd w:val="0"/>
        <w:spacing w:line="520" w:lineRule="exact"/>
        <w:rPr>
          <w:b/>
          <w:color w:val="000000" w:themeColor="text1"/>
          <w:kern w:val="0"/>
          <w:sz w:val="2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1"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color w:val="000000" w:themeColor="text1"/>
          <w:kern w:val="0"/>
          <w:sz w:val="24"/>
          <w:highlight w:val="none"/>
          <w14:textFill>
            <w14:solidFill>
              <w14:schemeClr w14:val="tx1"/>
            </w14:solidFill>
          </w14:textFill>
        </w:rPr>
      </w:pPr>
    </w:p>
    <w:p>
      <w:pPr>
        <w:autoSpaceDE w:val="0"/>
        <w:autoSpaceDN w:val="0"/>
        <w:adjustRightInd w:val="0"/>
        <w:spacing w:line="520" w:lineRule="exact"/>
        <w:rPr>
          <w:b/>
          <w:color w:val="000000" w:themeColor="text1"/>
          <w:kern w:val="0"/>
          <w:sz w:val="24"/>
          <w:highlight w:val="none"/>
          <w14:textFill>
            <w14:solidFill>
              <w14:schemeClr w14:val="tx1"/>
            </w14:solidFill>
          </w14:textFill>
        </w:rPr>
      </w:pPr>
    </w:p>
    <w:p>
      <w:pPr>
        <w:autoSpaceDE w:val="0"/>
        <w:autoSpaceDN w:val="0"/>
        <w:adjustRightInd w:val="0"/>
        <w:jc w:val="center"/>
        <w:rPr>
          <w:color w:val="000000" w:themeColor="text1"/>
          <w:kern w:val="0"/>
          <w:sz w:val="144"/>
          <w:szCs w:val="144"/>
          <w:highlight w:val="none"/>
          <w14:textFill>
            <w14:solidFill>
              <w14:schemeClr w14:val="tx1"/>
            </w14:solidFill>
          </w14:textFill>
        </w:rPr>
      </w:pPr>
      <w:r>
        <w:rPr>
          <w:rFonts w:hint="eastAsia"/>
          <w:color w:val="000000" w:themeColor="text1"/>
          <w:sz w:val="160"/>
          <w:szCs w:val="84"/>
          <w:highlight w:val="none"/>
          <w14:textFill>
            <w14:solidFill>
              <w14:schemeClr w14:val="tx1"/>
            </w14:solidFill>
          </w14:textFill>
        </w:rPr>
        <w:t>响应文件</w:t>
      </w:r>
    </w:p>
    <w:p>
      <w:pPr>
        <w:autoSpaceDE w:val="0"/>
        <w:autoSpaceDN w:val="0"/>
        <w:adjustRightInd w:val="0"/>
        <w:spacing w:line="520" w:lineRule="exact"/>
        <w:jc w:val="center"/>
        <w:rPr>
          <w:b/>
          <w:color w:val="000000" w:themeColor="text1"/>
          <w:kern w:val="0"/>
          <w:sz w:val="24"/>
          <w:highlight w:val="none"/>
          <w14:textFill>
            <w14:solidFill>
              <w14:schemeClr w14:val="tx1"/>
            </w14:solidFill>
          </w14:textFill>
        </w:rPr>
      </w:pPr>
      <w:r>
        <w:rPr>
          <w:rFonts w:eastAsia="楷体_GB2312"/>
          <w:b/>
          <w:color w:val="000000" w:themeColor="text1"/>
          <w:kern w:val="0"/>
          <w:sz w:val="36"/>
          <w:szCs w:val="36"/>
          <w:highlight w:val="none"/>
          <w14:textFill>
            <w14:solidFill>
              <w14:schemeClr w14:val="tx1"/>
            </w14:solidFill>
          </w14:textFill>
        </w:rPr>
        <w:t xml:space="preserve">（ </w:t>
      </w:r>
      <w:r>
        <w:rPr>
          <w:rFonts w:hint="eastAsia" w:eastAsia="楷体_GB2312"/>
          <w:b/>
          <w:color w:val="000000" w:themeColor="text1"/>
          <w:kern w:val="0"/>
          <w:sz w:val="36"/>
          <w:szCs w:val="36"/>
          <w:highlight w:val="none"/>
          <w14:textFill>
            <w14:solidFill>
              <w14:schemeClr w14:val="tx1"/>
            </w14:solidFill>
          </w14:textFill>
        </w:rPr>
        <w:t>加盖电子签章</w:t>
      </w:r>
      <w:r>
        <w:rPr>
          <w:rFonts w:eastAsia="楷体_GB2312"/>
          <w:b/>
          <w:color w:val="000000" w:themeColor="text1"/>
          <w:kern w:val="0"/>
          <w:sz w:val="36"/>
          <w:szCs w:val="36"/>
          <w:highlight w:val="none"/>
          <w14:textFill>
            <w14:solidFill>
              <w14:schemeClr w14:val="tx1"/>
            </w14:solidFill>
          </w14:textFill>
        </w:rPr>
        <w:t xml:space="preserve"> ）</w:t>
      </w:r>
    </w:p>
    <w:p>
      <w:pPr>
        <w:autoSpaceDE w:val="0"/>
        <w:autoSpaceDN w:val="0"/>
        <w:adjustRightInd w:val="0"/>
        <w:spacing w:line="520" w:lineRule="exact"/>
        <w:jc w:val="center"/>
        <w:rPr>
          <w:b/>
          <w:color w:val="000000" w:themeColor="text1"/>
          <w:kern w:val="0"/>
          <w:sz w:val="24"/>
          <w:highlight w:val="none"/>
          <w14:textFill>
            <w14:solidFill>
              <w14:schemeClr w14:val="tx1"/>
            </w14:solidFill>
          </w14:textFill>
        </w:rPr>
      </w:pPr>
    </w:p>
    <w:p>
      <w:pPr>
        <w:spacing w:before="72" w:beforeLines="30" w:after="168" w:afterLines="70" w:line="540" w:lineRule="exact"/>
        <w:ind w:left="630"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项 目 编 号：</w:t>
      </w:r>
    </w:p>
    <w:p>
      <w:pPr>
        <w:spacing w:before="72" w:beforeLines="30" w:after="168" w:afterLines="70" w:line="540" w:lineRule="exact"/>
        <w:ind w:left="2152" w:leftChars="300" w:hanging="1522" w:hangingChars="446"/>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项 目 名 称：</w:t>
      </w:r>
    </w:p>
    <w:p>
      <w:pPr>
        <w:spacing w:before="72" w:beforeLines="30" w:after="168" w:afterLines="70" w:line="540" w:lineRule="exact"/>
        <w:ind w:left="2152" w:leftChars="300" w:hanging="1522" w:hangingChars="446"/>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所 投 包 号：</w:t>
      </w:r>
    </w:p>
    <w:p>
      <w:pPr>
        <w:spacing w:before="72" w:beforeLines="30" w:after="168" w:afterLines="70" w:line="540" w:lineRule="exact"/>
        <w:ind w:left="630"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供应商名称：</w:t>
      </w:r>
    </w:p>
    <w:p>
      <w:pPr>
        <w:spacing w:before="72" w:beforeLines="30" w:after="168" w:afterLines="70" w:line="540" w:lineRule="exact"/>
        <w:ind w:left="630"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法定代表人姓名：</w:t>
      </w:r>
    </w:p>
    <w:p>
      <w:pPr>
        <w:spacing w:before="72" w:beforeLines="30" w:after="168" w:afterLines="70" w:line="540" w:lineRule="exact"/>
        <w:ind w:left="630"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谈判代表人姓名：</w:t>
      </w:r>
    </w:p>
    <w:p>
      <w:pPr>
        <w:spacing w:before="72" w:beforeLines="30" w:after="168" w:afterLines="70" w:line="540" w:lineRule="exact"/>
        <w:ind w:left="630" w:leftChars="300"/>
        <w:rPr>
          <w:b/>
          <w:color w:val="000000" w:themeColor="text1"/>
          <w:sz w:val="34"/>
          <w:szCs w:val="34"/>
          <w:highlight w:val="none"/>
          <w14:textFill>
            <w14:solidFill>
              <w14:schemeClr w14:val="tx1"/>
            </w14:solidFill>
          </w14:textFill>
        </w:rPr>
      </w:pPr>
    </w:p>
    <w:p>
      <w:pPr>
        <w:spacing w:before="72" w:beforeLines="30" w:after="168" w:afterLines="70" w:line="540" w:lineRule="exact"/>
        <w:ind w:left="630"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递交日期：   年   月   日</w:t>
      </w:r>
    </w:p>
    <w:p>
      <w:pPr>
        <w:spacing w:before="72" w:beforeLines="30" w:after="168" w:afterLines="70" w:line="540" w:lineRule="exact"/>
        <w:ind w:left="630" w:leftChars="300"/>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br w:type="page"/>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响应文件总目录</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（供应商自行编制）</w:t>
      </w:r>
    </w:p>
    <w:p>
      <w:pPr>
        <w:tabs>
          <w:tab w:val="left" w:pos="360"/>
        </w:tabs>
        <w:spacing w:line="560" w:lineRule="exact"/>
        <w:jc w:val="left"/>
        <w:rPr>
          <w:color w:val="000000" w:themeColor="text1"/>
          <w:sz w:val="24"/>
          <w:highlight w:val="none"/>
          <w14:textFill>
            <w14:solidFill>
              <w14:schemeClr w14:val="tx1"/>
            </w14:solidFill>
          </w14:textFill>
        </w:rPr>
      </w:pPr>
    </w:p>
    <w:p>
      <w:pPr>
        <w:tabs>
          <w:tab w:val="left" w:pos="360"/>
        </w:tabs>
        <w:spacing w:line="560" w:lineRule="exact"/>
        <w:jc w:val="left"/>
        <w:rPr>
          <w:color w:val="000000" w:themeColor="text1"/>
          <w:sz w:val="24"/>
          <w:highlight w:val="none"/>
          <w14:textFill>
            <w14:solidFill>
              <w14:schemeClr w14:val="tx1"/>
            </w14:solidFill>
          </w14:textFill>
        </w:rPr>
      </w:pPr>
    </w:p>
    <w:p>
      <w:pPr>
        <w:tabs>
          <w:tab w:val="left" w:pos="360"/>
        </w:tabs>
        <w:spacing w:line="560" w:lineRule="exact"/>
        <w:jc w:val="left"/>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line="560" w:lineRule="exact"/>
        <w:jc w:val="lef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附件1</w:t>
      </w:r>
    </w:p>
    <w:p>
      <w:pPr>
        <w:tabs>
          <w:tab w:val="left" w:pos="360"/>
        </w:tabs>
        <w:spacing w:line="560" w:lineRule="exact"/>
        <w:jc w:val="left"/>
        <w:rPr>
          <w:b/>
          <w:color w:val="000000" w:themeColor="text1"/>
          <w:sz w:val="24"/>
          <w:highlight w:val="none"/>
          <w14:textFill>
            <w14:solidFill>
              <w14:schemeClr w14:val="tx1"/>
            </w14:solidFill>
          </w14:textFill>
        </w:rPr>
      </w:pP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响应</w:t>
      </w:r>
      <w:r>
        <w:rPr>
          <w:b/>
          <w:bCs/>
          <w:color w:val="000000" w:themeColor="text1"/>
          <w:sz w:val="24"/>
          <w:highlight w:val="none"/>
          <w14:textFill>
            <w14:solidFill>
              <w14:schemeClr w14:val="tx1"/>
            </w14:solidFill>
          </w14:textFill>
        </w:rPr>
        <w:t>书</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致：天津市政府采购中心</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根据贵方为天津市</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项目（项目编号：</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）的邀请，签字代表</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（姓名/职务）经正式授权并代表</w:t>
      </w:r>
      <w:r>
        <w:rPr>
          <w:rFonts w:hint="eastAsia"/>
          <w:color w:val="000000" w:themeColor="text1"/>
          <w:sz w:val="24"/>
          <w:highlight w:val="none"/>
          <w14:textFill>
            <w14:solidFill>
              <w14:schemeClr w14:val="tx1"/>
            </w14:solidFill>
          </w14:textFill>
        </w:rPr>
        <w:t>我公司</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名称、地址）</w:t>
      </w:r>
      <w:r>
        <w:rPr>
          <w:rFonts w:hint="eastAsia"/>
          <w:color w:val="000000" w:themeColor="text1"/>
          <w:sz w:val="24"/>
          <w:highlight w:val="none"/>
          <w14:textFill>
            <w14:solidFill>
              <w14:schemeClr w14:val="tx1"/>
            </w14:solidFill>
          </w14:textFill>
        </w:rPr>
        <w:t>提</w:t>
      </w:r>
      <w:r>
        <w:rPr>
          <w:color w:val="000000" w:themeColor="text1"/>
          <w:sz w:val="24"/>
          <w:highlight w:val="none"/>
          <w14:textFill>
            <w14:solidFill>
              <w14:schemeClr w14:val="tx1"/>
            </w14:solidFill>
          </w14:textFill>
        </w:rPr>
        <w:t>交</w:t>
      </w:r>
      <w:r>
        <w:rPr>
          <w:rFonts w:hint="eastAsia"/>
          <w:color w:val="000000" w:themeColor="text1"/>
          <w:sz w:val="24"/>
          <w:highlight w:val="none"/>
          <w14:textFill>
            <w14:solidFill>
              <w14:schemeClr w14:val="tx1"/>
            </w14:solidFill>
          </w14:textFill>
        </w:rPr>
        <w:t>网上应答及上传加盖电子签章的响应文件</w:t>
      </w:r>
      <w:r>
        <w:rPr>
          <w:color w:val="000000" w:themeColor="text1"/>
          <w:sz w:val="24"/>
          <w:highlight w:val="none"/>
          <w14:textFill>
            <w14:solidFill>
              <w14:schemeClr w14:val="tx1"/>
            </w14:solidFill>
          </w14:textFill>
        </w:rPr>
        <w:t>。</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据此函，签字代表宣布同意如下：</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 所附报价表中规定的应提供和交付的总价为：</w:t>
      </w:r>
    </w:p>
    <w:p>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第一包，￥</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元（</w:t>
      </w:r>
      <w:r>
        <w:rPr>
          <w:rFonts w:hint="eastAsia"/>
          <w:color w:val="000000" w:themeColor="text1"/>
          <w:sz w:val="24"/>
          <w:highlight w:val="none"/>
          <w14:textFill>
            <w14:solidFill>
              <w14:schemeClr w14:val="tx1"/>
            </w14:solidFill>
          </w14:textFill>
        </w:rPr>
        <w:t>人民币</w:t>
      </w:r>
      <w:r>
        <w:rPr>
          <w:color w:val="000000" w:themeColor="text1"/>
          <w:sz w:val="24"/>
          <w:highlight w:val="none"/>
          <w14:textFill>
            <w14:solidFill>
              <w14:schemeClr w14:val="tx1"/>
            </w14:solidFill>
          </w14:textFill>
        </w:rPr>
        <w:t>），大写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（文字表述）。</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 xml:space="preserve"> 我公司</w:t>
      </w:r>
      <w:r>
        <w:rPr>
          <w:color w:val="000000" w:themeColor="text1"/>
          <w:sz w:val="24"/>
          <w:highlight w:val="none"/>
          <w14:textFill>
            <w14:solidFill>
              <w14:schemeClr w14:val="tx1"/>
            </w14:solidFill>
          </w14:textFill>
        </w:rPr>
        <w:t>将按</w:t>
      </w:r>
      <w:r>
        <w:rPr>
          <w:rFonts w:hint="eastAsia"/>
          <w:color w:val="000000" w:themeColor="text1"/>
          <w:sz w:val="24"/>
          <w:highlight w:val="none"/>
          <w14:textFill>
            <w14:solidFill>
              <w14:schemeClr w14:val="tx1"/>
            </w14:solidFill>
          </w14:textFill>
        </w:rPr>
        <w:t>单一来源采购文件</w:t>
      </w:r>
      <w:r>
        <w:rPr>
          <w:color w:val="000000" w:themeColor="text1"/>
          <w:sz w:val="24"/>
          <w:highlight w:val="none"/>
          <w14:textFill>
            <w14:solidFill>
              <w14:schemeClr w14:val="tx1"/>
            </w14:solidFill>
          </w14:textFill>
        </w:rPr>
        <w:t>的规定履行合同责任和义务。</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 xml:space="preserve"> 我公司已详细审查全部单一来源采购文件，包括更正公告以及全部参考资料和所有附件。我们认为全部单一来源采购文件（包括更正公告以及全部参考资料和所有附件）公平公正，无倾向性和排他性，我们完全理解并同意放弃对这方面有不明及误解的权利。</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 xml:space="preserve"> 我公司的谈判有效期为响应文件开启之日起60天。</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 我公司同意按照采购人、采购代理机构要求</w:t>
      </w:r>
      <w:r>
        <w:rPr>
          <w:color w:val="000000" w:themeColor="text1"/>
          <w:sz w:val="24"/>
          <w:highlight w:val="none"/>
          <w14:textFill>
            <w14:solidFill>
              <w14:schemeClr w14:val="tx1"/>
            </w14:solidFill>
          </w14:textFill>
        </w:rPr>
        <w:t>提供的与有关的一切数据或资料</w:t>
      </w:r>
      <w:r>
        <w:rPr>
          <w:rFonts w:hint="eastAsia"/>
          <w:color w:val="000000" w:themeColor="text1"/>
          <w:sz w:val="24"/>
          <w:highlight w:val="none"/>
          <w14:textFill>
            <w14:solidFill>
              <w14:schemeClr w14:val="tx1"/>
            </w14:solidFill>
          </w14:textFill>
        </w:rPr>
        <w:t>，并声明响应文件及所提供的一切资料均真实有效。由于我公司提供资料不实而造成的责任和后果由我公司自行承担。</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 我公司保证所投产品来自合法的供货渠道，若成交，则有义务向采购人提供其需要的有效书面证明材料。如果提供非法渠道的商品，视为欺诈，并承担相关责任。</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 我公司已熟知贵中心关于本项目电子招的要求和规定。我公司完全响应本次招通过网上进行的方式，我方承诺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 我公司承诺完全符合《中华人民共和国政府采购法》、《中华人民共和国政府采购法实施条例》等法律法规规定，并随时接受采购人、采购代理机构的检查验证。</w:t>
      </w:r>
      <w:r>
        <w:rPr>
          <w:color w:val="000000" w:themeColor="text1"/>
          <w:sz w:val="24"/>
          <w:highlight w:val="none"/>
          <w14:textFill>
            <w14:solidFill>
              <w14:schemeClr w14:val="tx1"/>
            </w14:solidFill>
          </w14:textFill>
        </w:rPr>
        <w:t>在整个</w:t>
      </w:r>
      <w:r>
        <w:rPr>
          <w:rFonts w:hint="eastAsia"/>
          <w:color w:val="000000" w:themeColor="text1"/>
          <w:sz w:val="24"/>
          <w:highlight w:val="none"/>
          <w14:textFill>
            <w14:solidFill>
              <w14:schemeClr w14:val="tx1"/>
            </w14:solidFill>
          </w14:textFill>
        </w:rPr>
        <w:t>谈判</w:t>
      </w:r>
      <w:r>
        <w:rPr>
          <w:color w:val="000000" w:themeColor="text1"/>
          <w:sz w:val="24"/>
          <w:highlight w:val="none"/>
          <w14:textFill>
            <w14:solidFill>
              <w14:schemeClr w14:val="tx1"/>
            </w14:solidFill>
          </w14:textFill>
        </w:rPr>
        <w:t>过程中，</w:t>
      </w:r>
      <w:r>
        <w:rPr>
          <w:rFonts w:hint="eastAsia"/>
          <w:color w:val="000000" w:themeColor="text1"/>
          <w:sz w:val="24"/>
          <w:highlight w:val="none"/>
          <w14:textFill>
            <w14:solidFill>
              <w14:schemeClr w14:val="tx1"/>
            </w14:solidFill>
          </w14:textFill>
        </w:rPr>
        <w:t>我公司</w:t>
      </w:r>
      <w:r>
        <w:rPr>
          <w:color w:val="000000" w:themeColor="text1"/>
          <w:sz w:val="24"/>
          <w:highlight w:val="none"/>
          <w14:textFill>
            <w14:solidFill>
              <w14:schemeClr w14:val="tx1"/>
            </w14:solidFill>
          </w14:textFill>
        </w:rPr>
        <w:t>若有违规行为，</w:t>
      </w:r>
      <w:r>
        <w:rPr>
          <w:rFonts w:hint="eastAsia"/>
          <w:color w:val="000000" w:themeColor="text1"/>
          <w:sz w:val="24"/>
          <w:highlight w:val="none"/>
          <w14:textFill>
            <w14:solidFill>
              <w14:schemeClr w14:val="tx1"/>
            </w14:solidFill>
          </w14:textFill>
        </w:rPr>
        <w:t>我公司完全接受</w:t>
      </w:r>
      <w:r>
        <w:rPr>
          <w:color w:val="000000" w:themeColor="text1"/>
          <w:sz w:val="24"/>
          <w:highlight w:val="none"/>
          <w14:textFill>
            <w14:solidFill>
              <w14:schemeClr w14:val="tx1"/>
            </w14:solidFill>
          </w14:textFill>
        </w:rPr>
        <w:t>贵</w:t>
      </w:r>
      <w:r>
        <w:rPr>
          <w:rFonts w:hint="eastAsia"/>
          <w:color w:val="000000" w:themeColor="text1"/>
          <w:sz w:val="24"/>
          <w:highlight w:val="none"/>
          <w14:textFill>
            <w14:solidFill>
              <w14:schemeClr w14:val="tx1"/>
            </w14:solidFill>
          </w14:textFill>
        </w:rPr>
        <w:t>中心依照相关法律法规和</w:t>
      </w:r>
      <w:r>
        <w:rPr>
          <w:color w:val="000000" w:themeColor="text1"/>
          <w:sz w:val="24"/>
          <w:highlight w:val="none"/>
          <w14:textFill>
            <w14:solidFill>
              <w14:schemeClr w14:val="tx1"/>
            </w14:solidFill>
          </w14:textFill>
        </w:rPr>
        <w:t>单一来源采购文件</w:t>
      </w:r>
      <w:r>
        <w:rPr>
          <w:rFonts w:hint="eastAsia"/>
          <w:color w:val="000000" w:themeColor="text1"/>
          <w:sz w:val="24"/>
          <w:highlight w:val="none"/>
          <w14:textFill>
            <w14:solidFill>
              <w14:schemeClr w14:val="tx1"/>
            </w14:solidFill>
          </w14:textFill>
        </w:rPr>
        <w:t>的</w:t>
      </w:r>
      <w:r>
        <w:rPr>
          <w:color w:val="000000" w:themeColor="text1"/>
          <w:sz w:val="24"/>
          <w:highlight w:val="none"/>
          <w14:textFill>
            <w14:solidFill>
              <w14:schemeClr w14:val="tx1"/>
            </w14:solidFill>
          </w14:textFill>
        </w:rPr>
        <w:t>规定给予</w:t>
      </w:r>
      <w:r>
        <w:rPr>
          <w:rFonts w:hint="eastAsia"/>
          <w:color w:val="000000" w:themeColor="text1"/>
          <w:sz w:val="24"/>
          <w:highlight w:val="none"/>
          <w14:textFill>
            <w14:solidFill>
              <w14:schemeClr w14:val="tx1"/>
            </w14:solidFill>
          </w14:textFill>
        </w:rPr>
        <w:t>处罚</w:t>
      </w:r>
      <w:r>
        <w:rPr>
          <w:color w:val="000000" w:themeColor="text1"/>
          <w:sz w:val="24"/>
          <w:highlight w:val="none"/>
          <w14:textFill>
            <w14:solidFill>
              <w14:schemeClr w14:val="tx1"/>
            </w14:solidFill>
          </w14:textFill>
        </w:rPr>
        <w:t>。</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color w:val="000000" w:themeColor="text1"/>
          <w:sz w:val="24"/>
          <w:szCs w:val="24"/>
          <w:highlight w:val="none"/>
          <w14:textFill>
            <w14:solidFill>
              <w14:schemeClr w14:val="tx1"/>
            </w14:solidFill>
          </w14:textFill>
        </w:rPr>
        <w:t>截止日前3年在经营活动中没有重大违法记录。</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我公司若</w:t>
      </w:r>
      <w:r>
        <w:rPr>
          <w:rFonts w:hint="eastAsia"/>
          <w:color w:val="000000" w:themeColor="text1"/>
          <w:sz w:val="24"/>
          <w:highlight w:val="none"/>
          <w14:textFill>
            <w14:solidFill>
              <w14:schemeClr w14:val="tx1"/>
            </w14:solidFill>
          </w14:textFill>
        </w:rPr>
        <w:t>成交</w:t>
      </w:r>
      <w:r>
        <w:rPr>
          <w:color w:val="000000" w:themeColor="text1"/>
          <w:sz w:val="24"/>
          <w:highlight w:val="none"/>
          <w14:textFill>
            <w14:solidFill>
              <w14:schemeClr w14:val="tx1"/>
            </w14:solidFill>
          </w14:textFill>
        </w:rPr>
        <w:t>，本承诺将成为合同不可分割的一部分，与合同具有同等的法律效力。</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11. 如违反上述承诺，我公司无效且接受相关部门依法作出的处罚，并承担通过“天津市政府采购网”等相关媒体予以公布的任何风险和责任。</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12. </w:t>
      </w:r>
      <w:r>
        <w:rPr>
          <w:rFonts w:hint="eastAsia"/>
          <w:color w:val="000000" w:themeColor="text1"/>
          <w:sz w:val="24"/>
          <w:highlight w:val="none"/>
          <w14:textFill>
            <w14:solidFill>
              <w14:schemeClr w14:val="tx1"/>
            </w14:solidFill>
          </w14:textFill>
        </w:rPr>
        <w:t>我公司开票信息如下，</w:t>
      </w:r>
      <w:r>
        <w:rPr>
          <w:rFonts w:hint="eastAsia"/>
          <w:b/>
          <w:color w:val="000000" w:themeColor="text1"/>
          <w:sz w:val="24"/>
          <w:highlight w:val="none"/>
          <w14:textFill>
            <w14:solidFill>
              <w14:schemeClr w14:val="tx1"/>
            </w14:solidFill>
          </w14:textFill>
        </w:rPr>
        <w:t>此信息与我公司在税务局注册的信息一致</w:t>
      </w:r>
      <w:r>
        <w:rPr>
          <w:rFonts w:hint="eastAsia"/>
          <w:color w:val="000000" w:themeColor="text1"/>
          <w:sz w:val="24"/>
          <w:highlight w:val="none"/>
          <w14:textFill>
            <w14:solidFill>
              <w14:schemeClr w14:val="tx1"/>
            </w14:solidFill>
          </w14:textFill>
        </w:rPr>
        <w:t>：</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纳税人识别号：</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地址、电话：</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开户行及账号：</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开具发票类型：□增值税专用发票         □增值税普通发票</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13. 我公司选择招标代理服务费</w:t>
      </w:r>
      <w:r>
        <w:rPr>
          <w:color w:val="000000" w:themeColor="text1"/>
          <w:sz w:val="24"/>
          <w:highlight w:val="none"/>
          <w14:textFill>
            <w14:solidFill>
              <w14:schemeClr w14:val="tx1"/>
            </w14:solidFill>
          </w14:textFill>
        </w:rPr>
        <w:t>发票领取方式（请自行选择以下任一方式并在相应</w:t>
      </w:r>
      <w:r>
        <w:rPr>
          <w:rFonts w:hint="eastAsia"/>
          <w:color w:val="000000" w:themeColor="text1"/>
          <w:sz w:val="24"/>
          <w:highlight w:val="none"/>
          <w14:textFill>
            <w14:solidFill>
              <w14:schemeClr w14:val="tx1"/>
            </w14:solidFill>
          </w14:textFill>
        </w:rPr>
        <w:t>□里划“√”</w:t>
      </w:r>
      <w:r>
        <w:rPr>
          <w:color w:val="000000" w:themeColor="text1"/>
          <w:sz w:val="24"/>
          <w:highlight w:val="none"/>
          <w14:textFill>
            <w14:solidFill>
              <w14:schemeClr w14:val="tx1"/>
            </w14:solidFill>
          </w14:textFill>
        </w:rPr>
        <w:t>）：</w:t>
      </w:r>
    </w:p>
    <w:p>
      <w:pPr>
        <w:spacing w:line="360" w:lineRule="auto"/>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w:t>
      </w:r>
      <w:r>
        <w:rPr>
          <w:b/>
          <w:color w:val="000000" w:themeColor="text1"/>
          <w:sz w:val="24"/>
          <w:highlight w:val="none"/>
          <w14:textFill>
            <w14:solidFill>
              <w14:schemeClr w14:val="tx1"/>
            </w14:solidFill>
          </w14:textFill>
        </w:rPr>
        <w:t>上门自取</w:t>
      </w:r>
    </w:p>
    <w:p>
      <w:pPr>
        <w:spacing w:line="360" w:lineRule="auto"/>
        <w:ind w:firstLine="480" w:firstLineChars="200"/>
        <w:rPr>
          <w:color w:val="000000" w:themeColor="text1"/>
          <w:sz w:val="24"/>
          <w:highlight w:val="none"/>
          <w14:textFill>
            <w14:solidFill>
              <w14:schemeClr w14:val="tx1"/>
            </w14:solidFill>
          </w14:textFill>
        </w:rPr>
      </w:pPr>
    </w:p>
    <w:p>
      <w:pPr>
        <w:spacing w:line="360" w:lineRule="auto"/>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w:t>
      </w:r>
      <w:r>
        <w:rPr>
          <w:b/>
          <w:color w:val="000000" w:themeColor="text1"/>
          <w:sz w:val="24"/>
          <w:highlight w:val="none"/>
          <w14:textFill>
            <w14:solidFill>
              <w14:schemeClr w14:val="tx1"/>
            </w14:solidFill>
          </w14:textFill>
        </w:rPr>
        <w:t>到付邮寄</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邮寄地址</w:t>
      </w:r>
      <w:r>
        <w:rPr>
          <w:rFonts w:hint="eastAsia"/>
          <w:color w:val="000000" w:themeColor="text1"/>
          <w:sz w:val="24"/>
          <w:highlight w:val="none"/>
          <w14:textFill>
            <w14:solidFill>
              <w14:schemeClr w14:val="tx1"/>
            </w14:solidFill>
          </w14:textFill>
        </w:rPr>
        <w:t>、邮编</w:t>
      </w:r>
      <w:r>
        <w:rPr>
          <w:color w:val="000000" w:themeColor="text1"/>
          <w:sz w:val="24"/>
          <w:highlight w:val="none"/>
          <w14:textFill>
            <w14:solidFill>
              <w14:schemeClr w14:val="tx1"/>
            </w14:solidFill>
          </w14:textFill>
        </w:rPr>
        <w:t>：</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邮寄联系人、手机号码：</w:t>
      </w:r>
    </w:p>
    <w:p>
      <w:pPr>
        <w:spacing w:line="360" w:lineRule="auto"/>
        <w:ind w:firstLine="480" w:firstLineChars="200"/>
        <w:rPr>
          <w:color w:val="000000" w:themeColor="text1"/>
          <w:sz w:val="24"/>
          <w:highlight w:val="none"/>
          <w14:textFill>
            <w14:solidFill>
              <w14:schemeClr w14:val="tx1"/>
            </w14:solidFill>
          </w14:textFill>
        </w:rPr>
      </w:pPr>
    </w:p>
    <w:p>
      <w:pPr>
        <w:spacing w:line="360" w:lineRule="auto"/>
        <w:ind w:firstLine="480" w:firstLineChars="200"/>
        <w:rPr>
          <w:color w:val="000000" w:themeColor="text1"/>
          <w:sz w:val="24"/>
          <w:highlight w:val="none"/>
          <w14:textFill>
            <w14:solidFill>
              <w14:schemeClr w14:val="tx1"/>
            </w14:solidFill>
          </w14:textFill>
        </w:rPr>
      </w:pPr>
    </w:p>
    <w:p>
      <w:pPr>
        <w:spacing w:line="360" w:lineRule="auto"/>
        <w:ind w:firstLine="4320" w:firstLineChars="18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供应商单位</w:t>
      </w:r>
      <w:r>
        <w:rPr>
          <w:color w:val="000000" w:themeColor="text1"/>
          <w:sz w:val="24"/>
          <w:highlight w:val="none"/>
          <w14:textFill>
            <w14:solidFill>
              <w14:schemeClr w14:val="tx1"/>
            </w14:solidFill>
          </w14:textFill>
        </w:rPr>
        <w:t>名称：</w:t>
      </w:r>
    </w:p>
    <w:p>
      <w:pPr>
        <w:spacing w:line="360" w:lineRule="auto"/>
        <w:ind w:firstLine="4320" w:firstLineChars="1800"/>
        <w:rPr>
          <w:color w:val="000000" w:themeColor="text1"/>
          <w:sz w:val="24"/>
          <w:highlight w:val="none"/>
          <w14:textFill>
            <w14:solidFill>
              <w14:schemeClr w14:val="tx1"/>
            </w14:solidFill>
          </w14:textFill>
        </w:rPr>
      </w:pPr>
    </w:p>
    <w:p>
      <w:pPr>
        <w:spacing w:line="360" w:lineRule="auto"/>
        <w:ind w:firstLine="4320" w:firstLineChars="18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年</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月</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widowControl/>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pPr>
        <w:tabs>
          <w:tab w:val="left" w:pos="360"/>
        </w:tabs>
        <w:spacing w:line="560" w:lineRule="exact"/>
        <w:jc w:val="lef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附件2</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供应商资格要求证明文件</w:t>
      </w: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注：相关证明材料应附在此页后面。</w:t>
      </w: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pPr>
        <w:tabs>
          <w:tab w:val="left" w:pos="360"/>
        </w:tabs>
        <w:spacing w:line="5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w:t>
      </w:r>
      <w:r>
        <w:rPr>
          <w:rFonts w:hint="eastAsia"/>
          <w:b/>
          <w:color w:val="000000" w:themeColor="text1"/>
          <w:sz w:val="24"/>
          <w:highlight w:val="none"/>
          <w14:textFill>
            <w14:solidFill>
              <w14:schemeClr w14:val="tx1"/>
            </w14:solidFill>
          </w14:textFill>
        </w:rPr>
        <w:t>3</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谈判</w:t>
      </w:r>
      <w:r>
        <w:rPr>
          <w:b/>
          <w:bCs/>
          <w:color w:val="000000" w:themeColor="text1"/>
          <w:sz w:val="24"/>
          <w:highlight w:val="none"/>
          <w14:textFill>
            <w14:solidFill>
              <w14:schemeClr w14:val="tx1"/>
            </w14:solidFill>
          </w14:textFill>
        </w:rPr>
        <w:t>代表人授权书</w:t>
      </w:r>
    </w:p>
    <w:p>
      <w:pPr>
        <w:spacing w:line="360" w:lineRule="auto"/>
        <w:rPr>
          <w:color w:val="000000" w:themeColor="text1"/>
          <w:sz w:val="24"/>
          <w:szCs w:val="21"/>
          <w:highlight w:val="none"/>
          <w14:textFill>
            <w14:solidFill>
              <w14:schemeClr w14:val="tx1"/>
            </w14:solidFill>
          </w14:textFill>
        </w:rPr>
      </w:pPr>
    </w:p>
    <w:p>
      <w:pPr>
        <w:spacing w:line="360" w:lineRule="auto"/>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致：天津市政府采购中心</w:t>
      </w:r>
    </w:p>
    <w:p>
      <w:pPr>
        <w:spacing w:line="360" w:lineRule="auto"/>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我单位</w:t>
      </w:r>
      <w:r>
        <w:rPr>
          <w:color w:val="000000" w:themeColor="text1"/>
          <w:sz w:val="24"/>
          <w:szCs w:val="21"/>
          <w:highlight w:val="none"/>
          <w14:textFill>
            <w14:solidFill>
              <w14:schemeClr w14:val="tx1"/>
            </w14:solidFill>
          </w14:textFill>
        </w:rPr>
        <w:t>授权委托在职职工_______________（姓名，职务）（身份证号码：____________________、联系电话：_______________）作为</w:t>
      </w:r>
      <w:r>
        <w:rPr>
          <w:rFonts w:hint="eastAsia"/>
          <w:color w:val="000000" w:themeColor="text1"/>
          <w:sz w:val="24"/>
          <w:szCs w:val="21"/>
          <w:highlight w:val="none"/>
          <w14:textFill>
            <w14:solidFill>
              <w14:schemeClr w14:val="tx1"/>
            </w14:solidFill>
          </w14:textFill>
        </w:rPr>
        <w:t>谈判</w:t>
      </w:r>
      <w:r>
        <w:rPr>
          <w:color w:val="000000" w:themeColor="text1"/>
          <w:sz w:val="24"/>
          <w:szCs w:val="21"/>
          <w:highlight w:val="none"/>
          <w14:textFill>
            <w14:solidFill>
              <w14:schemeClr w14:val="tx1"/>
            </w14:solidFill>
          </w14:textFill>
        </w:rPr>
        <w:t>代表人以我方的名义参加贵中心______________________项目（项目编号：_______________）的活动，并代表我方全权办理针对上述项目的</w:t>
      </w:r>
      <w:r>
        <w:rPr>
          <w:rFonts w:hint="eastAsia"/>
          <w:color w:val="000000" w:themeColor="text1"/>
          <w:sz w:val="24"/>
          <w:szCs w:val="21"/>
          <w:highlight w:val="none"/>
          <w14:textFill>
            <w14:solidFill>
              <w14:schemeClr w14:val="tx1"/>
            </w14:solidFill>
          </w14:textFill>
        </w:rPr>
        <w:t>递交响应文件</w:t>
      </w:r>
      <w:r>
        <w:rPr>
          <w:color w:val="000000" w:themeColor="text1"/>
          <w:sz w:val="24"/>
          <w:szCs w:val="21"/>
          <w:highlight w:val="none"/>
          <w14:textFill>
            <w14:solidFill>
              <w14:schemeClr w14:val="tx1"/>
            </w14:solidFill>
          </w14:textFill>
        </w:rPr>
        <w:t>、</w:t>
      </w:r>
      <w:r>
        <w:rPr>
          <w:rFonts w:hint="eastAsia"/>
          <w:color w:val="000000" w:themeColor="text1"/>
          <w:sz w:val="24"/>
          <w:szCs w:val="21"/>
          <w:highlight w:val="none"/>
          <w14:textFill>
            <w14:solidFill>
              <w14:schemeClr w14:val="tx1"/>
            </w14:solidFill>
          </w14:textFill>
        </w:rPr>
        <w:t>谈判</w:t>
      </w:r>
      <w:r>
        <w:rPr>
          <w:color w:val="000000" w:themeColor="text1"/>
          <w:sz w:val="24"/>
          <w:szCs w:val="21"/>
          <w:highlight w:val="none"/>
          <w14:textFill>
            <w14:solidFill>
              <w14:schemeClr w14:val="tx1"/>
            </w14:solidFill>
          </w14:textFill>
        </w:rPr>
        <w:t>、</w:t>
      </w:r>
      <w:r>
        <w:rPr>
          <w:rFonts w:hint="eastAsia"/>
          <w:color w:val="000000" w:themeColor="text1"/>
          <w:sz w:val="24"/>
          <w:szCs w:val="21"/>
          <w:highlight w:val="none"/>
          <w14:textFill>
            <w14:solidFill>
              <w14:schemeClr w14:val="tx1"/>
            </w14:solidFill>
          </w14:textFill>
        </w:rPr>
        <w:t>响应</w:t>
      </w:r>
      <w:r>
        <w:rPr>
          <w:color w:val="000000" w:themeColor="text1"/>
          <w:sz w:val="24"/>
          <w:szCs w:val="21"/>
          <w:highlight w:val="none"/>
          <w14:textFill>
            <w14:solidFill>
              <w14:schemeClr w14:val="tx1"/>
            </w14:solidFill>
          </w14:textFill>
        </w:rPr>
        <w:t>文件澄清、签约等一切具体事务和签署相关文件。</w:t>
      </w:r>
    </w:p>
    <w:p>
      <w:pPr>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我方对</w:t>
      </w:r>
      <w:r>
        <w:rPr>
          <w:rFonts w:hint="eastAsia"/>
          <w:color w:val="000000" w:themeColor="text1"/>
          <w:sz w:val="24"/>
          <w:szCs w:val="21"/>
          <w:highlight w:val="none"/>
          <w14:textFill>
            <w14:solidFill>
              <w14:schemeClr w14:val="tx1"/>
            </w14:solidFill>
          </w14:textFill>
        </w:rPr>
        <w:t>谈判代表人</w:t>
      </w:r>
      <w:r>
        <w:rPr>
          <w:color w:val="000000" w:themeColor="text1"/>
          <w:sz w:val="24"/>
          <w:szCs w:val="21"/>
          <w:highlight w:val="none"/>
          <w14:textFill>
            <w14:solidFill>
              <w14:schemeClr w14:val="tx1"/>
            </w14:solidFill>
          </w14:textFill>
        </w:rPr>
        <w:t>的签名事项负全部责任。</w:t>
      </w:r>
    </w:p>
    <w:p>
      <w:pPr>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本授权书至</w:t>
      </w:r>
      <w:r>
        <w:rPr>
          <w:rFonts w:hint="eastAsia"/>
          <w:color w:val="000000" w:themeColor="text1"/>
          <w:sz w:val="24"/>
          <w:szCs w:val="21"/>
          <w:highlight w:val="none"/>
          <w14:textFill>
            <w14:solidFill>
              <w14:schemeClr w14:val="tx1"/>
            </w14:solidFill>
          </w14:textFill>
        </w:rPr>
        <w:t>谈判</w:t>
      </w:r>
      <w:r>
        <w:rPr>
          <w:color w:val="000000" w:themeColor="text1"/>
          <w:sz w:val="24"/>
          <w:szCs w:val="21"/>
          <w:highlight w:val="none"/>
          <w14:textFill>
            <w14:solidFill>
              <w14:schemeClr w14:val="tx1"/>
            </w14:solidFill>
          </w14:textFill>
        </w:rPr>
        <w:t>有效期结束前始终有效。</w:t>
      </w:r>
    </w:p>
    <w:p>
      <w:pPr>
        <w:snapToGrid w:val="0"/>
        <w:spacing w:line="360" w:lineRule="auto"/>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谈判</w:t>
      </w:r>
      <w:r>
        <w:rPr>
          <w:color w:val="000000" w:themeColor="text1"/>
          <w:sz w:val="24"/>
          <w:szCs w:val="21"/>
          <w:highlight w:val="none"/>
          <w14:textFill>
            <w14:solidFill>
              <w14:schemeClr w14:val="tx1"/>
            </w14:solidFill>
          </w14:textFill>
        </w:rPr>
        <w:t>代表人无转委托权，特此委托。</w:t>
      </w:r>
    </w:p>
    <w:p>
      <w:pPr>
        <w:spacing w:line="360" w:lineRule="auto"/>
        <w:ind w:firstLine="480" w:firstLineChars="200"/>
        <w:rPr>
          <w:color w:val="000000" w:themeColor="text1"/>
          <w:sz w:val="24"/>
          <w:highlight w:val="none"/>
          <w14:textFill>
            <w14:solidFill>
              <w14:schemeClr w14:val="tx1"/>
            </w14:solidFill>
          </w14:textFill>
        </w:rPr>
      </w:pPr>
    </w:p>
    <w:p>
      <w:pPr>
        <w:spacing w:line="360" w:lineRule="auto"/>
        <w:ind w:firstLine="480" w:firstLineChars="200"/>
        <w:rPr>
          <w:color w:val="000000" w:themeColor="text1"/>
          <w:sz w:val="24"/>
          <w:highlight w:val="none"/>
          <w14:textFill>
            <w14:solidFill>
              <w14:schemeClr w14:val="tx1"/>
            </w14:solidFill>
          </w14:textFill>
        </w:rPr>
      </w:pPr>
    </w:p>
    <w:p>
      <w:pPr>
        <w:spacing w:line="480" w:lineRule="auto"/>
        <w:ind w:right="480" w:firstLine="4080" w:firstLineChars="1700"/>
        <w:rPr>
          <w:color w:val="000000" w:themeColor="text1"/>
          <w:sz w:val="24"/>
          <w:highlight w:val="none"/>
          <w14:textFill>
            <w14:solidFill>
              <w14:schemeClr w14:val="tx1"/>
            </w14:solidFill>
          </w14:textFill>
        </w:rPr>
      </w:pPr>
    </w:p>
    <w:p>
      <w:pPr>
        <w:spacing w:line="480" w:lineRule="auto"/>
        <w:ind w:right="480" w:firstLine="5280" w:firstLineChars="2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年</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月</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日</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shd w:val="clear" w:color="auto" w:fill="auto"/>
          </w:tcPr>
          <w:p>
            <w:pPr>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谈判代表人身份证正面</w:t>
            </w: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tc>
        <w:tc>
          <w:tcPr>
            <w:tcW w:w="4264" w:type="dxa"/>
            <w:shd w:val="clear" w:color="auto" w:fill="auto"/>
          </w:tcPr>
          <w:p>
            <w:pPr>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谈判代表人身份证背面</w:t>
            </w:r>
          </w:p>
        </w:tc>
      </w:tr>
    </w:tbl>
    <w:p>
      <w:pPr>
        <w:widowControl/>
        <w:jc w:val="left"/>
        <w:rPr>
          <w:color w:val="000000" w:themeColor="text1"/>
          <w:sz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pPr>
        <w:tabs>
          <w:tab w:val="left" w:pos="360"/>
        </w:tabs>
        <w:spacing w:line="560" w:lineRule="exact"/>
        <w:jc w:val="lef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附件4</w:t>
      </w:r>
    </w:p>
    <w:p>
      <w:pPr>
        <w:tabs>
          <w:tab w:val="left" w:pos="360"/>
        </w:tabs>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报价一览表</w:t>
      </w:r>
    </w:p>
    <w:p>
      <w:pPr>
        <w:tabs>
          <w:tab w:val="left" w:pos="360"/>
        </w:tabs>
        <w:spacing w:line="560" w:lineRule="exact"/>
        <w:jc w:val="center"/>
        <w:rPr>
          <w:b/>
          <w:color w:val="000000" w:themeColor="text1"/>
          <w:sz w:val="24"/>
          <w:highlight w:val="none"/>
          <w14:textFill>
            <w14:solidFill>
              <w14:schemeClr w14:val="tx1"/>
            </w14:solidFill>
          </w14:textFill>
        </w:rPr>
      </w:pPr>
    </w:p>
    <w:p>
      <w:pPr>
        <w:spacing w:line="460" w:lineRule="exact"/>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 xml:space="preserve">            </w:t>
      </w:r>
    </w:p>
    <w:p>
      <w:pPr>
        <w:spacing w:line="460" w:lineRule="exact"/>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 xml:space="preserve">            </w:t>
      </w:r>
    </w:p>
    <w:p>
      <w:pPr>
        <w:spacing w:line="460" w:lineRule="exact"/>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单位：元</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135"/>
        <w:gridCol w:w="993"/>
        <w:gridCol w:w="1561"/>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包</w:t>
            </w:r>
            <w:r>
              <w:rPr>
                <w:color w:val="000000" w:themeColor="text1"/>
                <w:sz w:val="24"/>
                <w:highlight w:val="none"/>
                <w14:textFill>
                  <w14:solidFill>
                    <w14:schemeClr w14:val="tx1"/>
                  </w14:solidFill>
                </w14:textFill>
              </w:rPr>
              <w:t>号</w:t>
            </w:r>
          </w:p>
        </w:tc>
        <w:tc>
          <w:tcPr>
            <w:tcW w:w="1838" w:type="pct"/>
            <w:vAlign w:val="center"/>
          </w:tcPr>
          <w:p>
            <w:pPr>
              <w:spacing w:line="46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服务</w:t>
            </w:r>
            <w:r>
              <w:rPr>
                <w:color w:val="000000" w:themeColor="text1"/>
                <w:sz w:val="24"/>
                <w:highlight w:val="none"/>
                <w14:textFill>
                  <w14:solidFill>
                    <w14:schemeClr w14:val="tx1"/>
                  </w14:solidFill>
                </w14:textFill>
              </w:rPr>
              <w:t>名称</w:t>
            </w:r>
          </w:p>
        </w:tc>
        <w:tc>
          <w:tcPr>
            <w:tcW w:w="582" w:type="pct"/>
            <w:vAlign w:val="center"/>
          </w:tcPr>
          <w:p>
            <w:pPr>
              <w:spacing w:line="46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数量</w:t>
            </w:r>
          </w:p>
        </w:tc>
        <w:tc>
          <w:tcPr>
            <w:tcW w:w="915"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w:t>
            </w:r>
          </w:p>
        </w:tc>
        <w:tc>
          <w:tcPr>
            <w:tcW w:w="1113"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bl>
    <w:p>
      <w:pPr>
        <w:spacing w:line="360" w:lineRule="auto"/>
        <w:ind w:firstLine="4080" w:firstLineChars="1700"/>
        <w:rPr>
          <w:color w:val="000000" w:themeColor="text1"/>
          <w:sz w:val="24"/>
          <w:szCs w:val="24"/>
          <w:highlight w:val="none"/>
          <w14:textFill>
            <w14:solidFill>
              <w14:schemeClr w14:val="tx1"/>
            </w14:solidFill>
          </w14:textFill>
        </w:rPr>
      </w:pPr>
    </w:p>
    <w:p>
      <w:pPr>
        <w:spacing w:line="360" w:lineRule="auto"/>
        <w:ind w:firstLine="4080" w:firstLineChars="1700"/>
        <w:rPr>
          <w:color w:val="000000" w:themeColor="text1"/>
          <w:sz w:val="24"/>
          <w:szCs w:val="24"/>
          <w:highlight w:val="none"/>
          <w14:textFill>
            <w14:solidFill>
              <w14:schemeClr w14:val="tx1"/>
            </w14:solidFill>
          </w14:textFill>
        </w:rPr>
      </w:pPr>
    </w:p>
    <w:p>
      <w:pPr>
        <w:spacing w:line="360" w:lineRule="auto"/>
        <w:ind w:firstLine="4080" w:firstLineChars="1700"/>
        <w:rPr>
          <w:color w:val="000000" w:themeColor="text1"/>
          <w:sz w:val="24"/>
          <w:szCs w:val="24"/>
          <w:highlight w:val="none"/>
          <w14:textFill>
            <w14:solidFill>
              <w14:schemeClr w14:val="tx1"/>
            </w14:solidFill>
          </w14:textFill>
        </w:rPr>
      </w:pP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供应商名称：</w:t>
      </w:r>
    </w:p>
    <w:p>
      <w:pPr>
        <w:spacing w:line="460" w:lineRule="exact"/>
        <w:ind w:left="192" w:firstLine="3948" w:firstLineChars="164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460" w:lineRule="exact"/>
        <w:ind w:left="-178" w:leftChars="-85"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p>
    <w:p>
      <w:pPr>
        <w:tabs>
          <w:tab w:val="left" w:pos="360"/>
        </w:tabs>
        <w:spacing w:line="560" w:lineRule="exact"/>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附件5</w:t>
      </w:r>
    </w:p>
    <w:p>
      <w:pPr>
        <w:tabs>
          <w:tab w:val="left" w:pos="360"/>
        </w:tabs>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报价分项一览表</w:t>
      </w:r>
    </w:p>
    <w:p>
      <w:pPr>
        <w:tabs>
          <w:tab w:val="left" w:pos="360"/>
        </w:tabs>
        <w:spacing w:line="560" w:lineRule="exact"/>
        <w:jc w:val="center"/>
        <w:rPr>
          <w:b/>
          <w:color w:val="000000" w:themeColor="text1"/>
          <w:sz w:val="24"/>
          <w:highlight w:val="none"/>
          <w14:textFill>
            <w14:solidFill>
              <w14:schemeClr w14:val="tx1"/>
            </w14:solidFill>
          </w14:textFill>
        </w:rPr>
      </w:pPr>
    </w:p>
    <w:p>
      <w:pPr>
        <w:spacing w:line="460" w:lineRule="exact"/>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 xml:space="preserve">            </w:t>
      </w:r>
    </w:p>
    <w:p>
      <w:pPr>
        <w:spacing w:line="460" w:lineRule="exact"/>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单位：元</w:t>
      </w:r>
    </w:p>
    <w:tbl>
      <w:tblPr>
        <w:tblStyle w:val="34"/>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49"/>
        <w:gridCol w:w="1701"/>
        <w:gridCol w:w="223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8"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项号</w:t>
            </w:r>
          </w:p>
        </w:tc>
        <w:tc>
          <w:tcPr>
            <w:tcW w:w="2349"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服务名称</w:t>
            </w:r>
          </w:p>
        </w:tc>
        <w:tc>
          <w:tcPr>
            <w:tcW w:w="1701"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总价</w:t>
            </w:r>
          </w:p>
        </w:tc>
        <w:tc>
          <w:tcPr>
            <w:tcW w:w="2238"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数量</w:t>
            </w:r>
          </w:p>
        </w:tc>
        <w:tc>
          <w:tcPr>
            <w:tcW w:w="1848"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8" w:type="dxa"/>
            <w:vAlign w:val="center"/>
          </w:tcPr>
          <w:p>
            <w:pPr>
              <w:widowControl/>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2349" w:type="dxa"/>
            <w:vAlign w:val="center"/>
          </w:tcPr>
          <w:p>
            <w:pPr>
              <w:widowControl/>
              <w:jc w:val="center"/>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1项</w:t>
            </w: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14" w:type="dxa"/>
            <w:gridSpan w:val="5"/>
            <w:vAlign w:val="center"/>
          </w:tcPr>
          <w:p>
            <w:pPr>
              <w:widowControl/>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分项名称</w:t>
            </w:r>
          </w:p>
        </w:tc>
        <w:tc>
          <w:tcPr>
            <w:tcW w:w="1701" w:type="dxa"/>
            <w:vAlign w:val="center"/>
          </w:tcPr>
          <w:p>
            <w:pPr>
              <w:widowControl/>
              <w:jc w:val="center"/>
              <w:rPr>
                <w:b/>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价格</w:t>
            </w:r>
          </w:p>
        </w:tc>
        <w:tc>
          <w:tcPr>
            <w:tcW w:w="2238" w:type="dxa"/>
            <w:vAlign w:val="center"/>
          </w:tcPr>
          <w:p>
            <w:pPr>
              <w:widowControl/>
              <w:jc w:val="center"/>
              <w:rPr>
                <w:b/>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数量</w:t>
            </w:r>
          </w:p>
        </w:tc>
        <w:tc>
          <w:tcPr>
            <w:tcW w:w="1848"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sz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center"/>
              <w:rPr>
                <w:color w:val="000000" w:themeColor="text1"/>
                <w:sz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kern w:val="0"/>
                <w:sz w:val="24"/>
                <w:szCs w:val="24"/>
                <w:highlight w:val="none"/>
                <w14:textFill>
                  <w14:solidFill>
                    <w14:schemeClr w14:val="tx1"/>
                  </w14:solidFill>
                </w14:textFill>
              </w:rPr>
            </w:pPr>
          </w:p>
        </w:tc>
      </w:tr>
    </w:tbl>
    <w:p>
      <w:pPr>
        <w:ind w:left="180"/>
        <w:rPr>
          <w:color w:val="000000" w:themeColor="text1"/>
          <w:highlight w:val="none"/>
          <w14:textFill>
            <w14:solidFill>
              <w14:schemeClr w14:val="tx1"/>
            </w14:solidFill>
          </w14:textFill>
        </w:rPr>
      </w:pPr>
    </w:p>
    <w:p>
      <w:pPr>
        <w:spacing w:line="480" w:lineRule="auto"/>
        <w:ind w:left="18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注：</w:t>
      </w:r>
    </w:p>
    <w:p>
      <w:pPr>
        <w:spacing w:line="480" w:lineRule="auto"/>
        <w:ind w:left="18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 本表第一行填写本项目总价，须与附件</w:t>
      </w:r>
      <w:r>
        <w:rPr>
          <w:rFonts w:hint="eastAsia"/>
          <w:color w:val="000000" w:themeColor="text1"/>
          <w:sz w:val="24"/>
          <w:szCs w:val="24"/>
          <w:highlight w:val="none"/>
          <w14:textFill>
            <w14:solidFill>
              <w14:schemeClr w14:val="tx1"/>
            </w14:solidFill>
          </w14:textFill>
        </w:rPr>
        <w:t>4</w:t>
      </w:r>
      <w:r>
        <w:rPr>
          <w:color w:val="000000" w:themeColor="text1"/>
          <w:sz w:val="24"/>
          <w:szCs w:val="24"/>
          <w:highlight w:val="none"/>
          <w14:textFill>
            <w14:solidFill>
              <w14:schemeClr w14:val="tx1"/>
            </w14:solidFill>
          </w14:textFill>
        </w:rPr>
        <w:t>中总价保持一致。</w:t>
      </w:r>
    </w:p>
    <w:p>
      <w:pPr>
        <w:spacing w:line="480" w:lineRule="auto"/>
        <w:ind w:left="18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 下面应填写分项价格及分项名称（分项名称可根据实际情况增减、修改），分项价格汇总应等于总价。</w:t>
      </w:r>
    </w:p>
    <w:p>
      <w:pPr>
        <w:spacing w:line="460" w:lineRule="exact"/>
        <w:ind w:left="192" w:firstLine="3948" w:firstLineChars="1645"/>
        <w:rPr>
          <w:color w:val="000000" w:themeColor="text1"/>
          <w:sz w:val="24"/>
          <w:highlight w:val="none"/>
          <w14:textFill>
            <w14:solidFill>
              <w14:schemeClr w14:val="tx1"/>
            </w14:solidFill>
          </w14:textFill>
        </w:rPr>
      </w:pP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供应商名称：</w:t>
      </w: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460" w:lineRule="exact"/>
        <w:ind w:left="192"/>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附件6</w:t>
      </w:r>
      <w:r>
        <w:rPr>
          <w:rFonts w:hint="eastAsia"/>
          <w:b/>
          <w:color w:val="000000" w:themeColor="text1"/>
          <w:sz w:val="24"/>
          <w:highlight w:val="none"/>
          <w14:textFill>
            <w14:solidFill>
              <w14:schemeClr w14:val="tx1"/>
            </w14:solidFill>
          </w14:textFill>
        </w:rPr>
        <w:t>-1</w:t>
      </w:r>
    </w:p>
    <w:p>
      <w:pPr>
        <w:tabs>
          <w:tab w:val="left" w:pos="360"/>
        </w:tabs>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商务要求点对点应答表</w:t>
      </w:r>
    </w:p>
    <w:p>
      <w:pPr>
        <w:spacing w:line="460" w:lineRule="exact"/>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p>
    <w:tbl>
      <w:tblPr>
        <w:tblStyle w:val="3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500"/>
        <w:gridCol w:w="2680"/>
        <w:gridCol w:w="1979"/>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序号</w:t>
            </w:r>
          </w:p>
        </w:tc>
        <w:tc>
          <w:tcPr>
            <w:tcW w:w="250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采购文件</w:t>
            </w:r>
            <w:r>
              <w:rPr>
                <w:color w:val="000000" w:themeColor="text1"/>
                <w:kern w:val="0"/>
                <w:sz w:val="24"/>
                <w:szCs w:val="24"/>
                <w:highlight w:val="none"/>
                <w14:textFill>
                  <w14:solidFill>
                    <w14:schemeClr w14:val="tx1"/>
                  </w14:solidFill>
                </w14:textFill>
              </w:rPr>
              <w:t>要求</w:t>
            </w:r>
          </w:p>
        </w:tc>
        <w:tc>
          <w:tcPr>
            <w:tcW w:w="268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响应</w:t>
            </w:r>
            <w:r>
              <w:rPr>
                <w:color w:val="000000" w:themeColor="text1"/>
                <w:kern w:val="0"/>
                <w:sz w:val="24"/>
                <w:szCs w:val="24"/>
                <w:highlight w:val="none"/>
                <w14:textFill>
                  <w14:solidFill>
                    <w14:schemeClr w14:val="tx1"/>
                  </w14:solidFill>
                </w14:textFill>
              </w:rPr>
              <w:t>应答</w:t>
            </w:r>
          </w:p>
        </w:tc>
        <w:tc>
          <w:tcPr>
            <w:tcW w:w="1979"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偏离说明</w:t>
            </w:r>
          </w:p>
        </w:tc>
        <w:tc>
          <w:tcPr>
            <w:tcW w:w="1241"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一</w:t>
            </w:r>
            <w:r>
              <w:rPr>
                <w:color w:val="000000" w:themeColor="text1"/>
                <w:kern w:val="0"/>
                <w:sz w:val="24"/>
                <w:szCs w:val="24"/>
                <w:highlight w:val="none"/>
                <w14:textFill>
                  <w14:solidFill>
                    <w14:schemeClr w14:val="tx1"/>
                  </w14:solidFill>
                </w14:textFill>
              </w:rPr>
              <w:t>）报价要求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（二）</w:t>
            </w:r>
            <w:r>
              <w:rPr>
                <w:color w:val="000000" w:themeColor="text1"/>
                <w:sz w:val="24"/>
                <w:szCs w:val="24"/>
                <w:highlight w:val="none"/>
                <w14:textFill>
                  <w14:solidFill>
                    <w14:schemeClr w14:val="tx1"/>
                  </w14:solidFill>
                </w14:textFill>
              </w:rPr>
              <w:t>时间、地点要求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（三）</w:t>
            </w:r>
            <w:r>
              <w:rPr>
                <w:color w:val="000000" w:themeColor="text1"/>
                <w:kern w:val="0"/>
                <w:sz w:val="24"/>
                <w:szCs w:val="24"/>
                <w:highlight w:val="none"/>
                <w14:textFill>
                  <w14:solidFill>
                    <w14:schemeClr w14:val="tx1"/>
                  </w14:solidFill>
                </w14:textFill>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四</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谈判有效期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五</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谈判</w:t>
            </w:r>
            <w:r>
              <w:rPr>
                <w:color w:val="000000" w:themeColor="text1"/>
                <w:kern w:val="0"/>
                <w:sz w:val="24"/>
                <w:szCs w:val="24"/>
                <w:highlight w:val="none"/>
                <w14:textFill>
                  <w14:solidFill>
                    <w14:schemeClr w14:val="tx1"/>
                  </w14:solidFill>
                </w14:textFill>
              </w:rPr>
              <w:t>保证金和履约保证金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r>
    </w:tbl>
    <w:p>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不如实填写偏离情况的响应文件将视为虚假材料。</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2. </w:t>
      </w:r>
      <w:r>
        <w:rPr>
          <w:rFonts w:hint="eastAsia"/>
          <w:color w:val="000000" w:themeColor="text1"/>
          <w:sz w:val="24"/>
          <w:highlight w:val="none"/>
          <w14:textFill>
            <w14:solidFill>
              <w14:schemeClr w14:val="tx1"/>
            </w14:solidFill>
          </w14:textFill>
        </w:rPr>
        <w:t>采购</w:t>
      </w:r>
      <w:r>
        <w:rPr>
          <w:color w:val="000000" w:themeColor="text1"/>
          <w:sz w:val="24"/>
          <w:highlight w:val="none"/>
          <w14:textFill>
            <w14:solidFill>
              <w14:schemeClr w14:val="tx1"/>
            </w14:solidFill>
          </w14:textFill>
        </w:rPr>
        <w:t>文件要求指</w:t>
      </w:r>
      <w:r>
        <w:rPr>
          <w:rFonts w:hint="eastAsia"/>
          <w:color w:val="000000" w:themeColor="text1"/>
          <w:sz w:val="24"/>
          <w:highlight w:val="none"/>
          <w14:textFill>
            <w14:solidFill>
              <w14:schemeClr w14:val="tx1"/>
            </w14:solidFill>
          </w14:textFill>
        </w:rPr>
        <w:t>单一来源采购</w:t>
      </w:r>
      <w:r>
        <w:rPr>
          <w:color w:val="000000" w:themeColor="text1"/>
          <w:sz w:val="24"/>
          <w:highlight w:val="none"/>
          <w14:textFill>
            <w14:solidFill>
              <w14:schemeClr w14:val="tx1"/>
            </w14:solidFill>
          </w14:textFill>
        </w:rPr>
        <w:t>文件中规定的具体要求，</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应答指</w:t>
      </w:r>
      <w:r>
        <w:rPr>
          <w:rFonts w:hint="eastAsia"/>
          <w:color w:val="000000" w:themeColor="text1"/>
          <w:sz w:val="24"/>
          <w:highlight w:val="none"/>
          <w14:textFill>
            <w14:solidFill>
              <w14:schemeClr w14:val="tx1"/>
            </w14:solidFill>
          </w14:textFill>
        </w:rPr>
        <w:t>响应文件</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具体内容</w:t>
      </w:r>
      <w:r>
        <w:rPr>
          <w:color w:val="000000" w:themeColor="text1"/>
          <w:sz w:val="24"/>
          <w:highlight w:val="none"/>
          <w14:textFill>
            <w14:solidFill>
              <w14:schemeClr w14:val="tx1"/>
            </w14:solidFill>
          </w14:textFill>
        </w:rPr>
        <w:t>。</w:t>
      </w:r>
    </w:p>
    <w:p>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 偏离说明指</w:t>
      </w:r>
      <w:r>
        <w:rPr>
          <w:rFonts w:hint="eastAsia"/>
          <w:color w:val="000000" w:themeColor="text1"/>
          <w:sz w:val="24"/>
          <w:highlight w:val="none"/>
          <w14:textFill>
            <w14:solidFill>
              <w14:schemeClr w14:val="tx1"/>
            </w14:solidFill>
          </w14:textFill>
        </w:rPr>
        <w:t>单一来源采购文件</w:t>
      </w:r>
      <w:r>
        <w:rPr>
          <w:color w:val="000000" w:themeColor="text1"/>
          <w:sz w:val="24"/>
          <w:highlight w:val="none"/>
          <w14:textFill>
            <w14:solidFill>
              <w14:schemeClr w14:val="tx1"/>
            </w14:solidFill>
          </w14:textFill>
        </w:rPr>
        <w:t>要求与</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应答之间的不同之处。</w:t>
      </w:r>
    </w:p>
    <w:p>
      <w:pPr>
        <w:spacing w:line="360" w:lineRule="auto"/>
        <w:rPr>
          <w:color w:val="000000" w:themeColor="text1"/>
          <w:sz w:val="24"/>
          <w:highlight w:val="none"/>
          <w14:textFill>
            <w14:solidFill>
              <w14:schemeClr w14:val="tx1"/>
            </w14:solidFill>
          </w14:textFill>
        </w:rPr>
      </w:pP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供应商名称：</w:t>
      </w: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460" w:lineRule="exact"/>
        <w:jc w:val="left"/>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w:t>
      </w:r>
      <w:r>
        <w:rPr>
          <w:rFonts w:hint="eastAsia"/>
          <w:b/>
          <w:color w:val="000000" w:themeColor="text1"/>
          <w:sz w:val="24"/>
          <w:highlight w:val="none"/>
          <w14:textFill>
            <w14:solidFill>
              <w14:schemeClr w14:val="tx1"/>
            </w14:solidFill>
          </w14:textFill>
        </w:rPr>
        <w:t>6</w:t>
      </w:r>
      <w:r>
        <w:rPr>
          <w:b/>
          <w:color w:val="000000" w:themeColor="text1"/>
          <w:sz w:val="24"/>
          <w:highlight w:val="none"/>
          <w14:textFill>
            <w14:solidFill>
              <w14:schemeClr w14:val="tx1"/>
            </w14:solidFill>
          </w14:textFill>
        </w:rPr>
        <w:t>-2</w:t>
      </w:r>
    </w:p>
    <w:p>
      <w:pPr>
        <w:tabs>
          <w:tab w:val="left" w:pos="360"/>
        </w:tabs>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技术要求点对点应答表</w:t>
      </w:r>
    </w:p>
    <w:p>
      <w:pPr>
        <w:spacing w:line="460" w:lineRule="exact"/>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tbl>
      <w:tblPr>
        <w:tblStyle w:val="34"/>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039"/>
        <w:gridCol w:w="2641"/>
        <w:gridCol w:w="2680"/>
        <w:gridCol w:w="1289"/>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07" w:type="dxa"/>
            <w:gridSpan w:val="6"/>
            <w:shd w:val="clear" w:color="auto" w:fill="auto"/>
            <w:vAlign w:val="center"/>
          </w:tcPr>
          <w:p>
            <w:pPr>
              <w:widowControl/>
              <w:snapToGrid w:val="0"/>
              <w:rPr>
                <w:b/>
                <w:color w:val="000000" w:themeColor="text1"/>
                <w:kern w:val="0"/>
                <w:sz w:val="24"/>
                <w:szCs w:val="21"/>
                <w:highlight w:val="none"/>
                <w14:textFill>
                  <w14:solidFill>
                    <w14:schemeClr w14:val="tx1"/>
                  </w14:solidFill>
                </w14:textFill>
              </w:rPr>
            </w:pPr>
            <w:r>
              <w:rPr>
                <w:rFonts w:hint="eastAsia"/>
                <w:b/>
                <w:color w:val="000000" w:themeColor="text1"/>
                <w:kern w:val="0"/>
                <w:sz w:val="24"/>
                <w:szCs w:val="21"/>
                <w:highlight w:val="none"/>
                <w14:textFill>
                  <w14:solidFill>
                    <w14:schemeClr w14:val="tx1"/>
                  </w14:solidFill>
                </w14:textFill>
              </w:rPr>
              <w:t>单一来源采购文件第二部分技术要求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3680" w:type="dxa"/>
            <w:gridSpan w:val="2"/>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采购文件要求</w:t>
            </w: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响应应答</w:t>
            </w: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偏离说明</w:t>
            </w: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p>
        </w:tc>
        <w:tc>
          <w:tcPr>
            <w:tcW w:w="3680" w:type="dxa"/>
            <w:gridSpan w:val="2"/>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2</w:t>
            </w:r>
          </w:p>
        </w:tc>
        <w:tc>
          <w:tcPr>
            <w:tcW w:w="3680" w:type="dxa"/>
            <w:gridSpan w:val="2"/>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3</w:t>
            </w:r>
          </w:p>
        </w:tc>
        <w:tc>
          <w:tcPr>
            <w:tcW w:w="3680" w:type="dxa"/>
            <w:gridSpan w:val="2"/>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w:t>
            </w:r>
          </w:p>
        </w:tc>
        <w:tc>
          <w:tcPr>
            <w:tcW w:w="3680" w:type="dxa"/>
            <w:gridSpan w:val="2"/>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7" w:type="dxa"/>
            <w:gridSpan w:val="6"/>
            <w:shd w:val="clear" w:color="auto" w:fill="auto"/>
            <w:vAlign w:val="center"/>
          </w:tcPr>
          <w:p>
            <w:pPr>
              <w:widowControl/>
              <w:snapToGrid w:val="0"/>
              <w:rPr>
                <w:b/>
                <w:color w:val="000000" w:themeColor="text1"/>
                <w:kern w:val="0"/>
                <w:sz w:val="24"/>
                <w:szCs w:val="21"/>
                <w:highlight w:val="none"/>
                <w14:textFill>
                  <w14:solidFill>
                    <w14:schemeClr w14:val="tx1"/>
                  </w14:solidFill>
                </w14:textFill>
              </w:rPr>
            </w:pPr>
            <w:r>
              <w:rPr>
                <w:b/>
                <w:color w:val="000000" w:themeColor="text1"/>
                <w:kern w:val="0"/>
                <w:sz w:val="24"/>
                <w:szCs w:val="21"/>
                <w:highlight w:val="none"/>
                <w14:textFill>
                  <w14:solidFill>
                    <w14:schemeClr w14:val="tx1"/>
                  </w14:solidFill>
                </w14:textFill>
              </w:rPr>
              <w:t>项目需求书（项目需求书要求须逐条应答）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103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标的</w:t>
            </w:r>
          </w:p>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名称</w:t>
            </w:r>
          </w:p>
        </w:tc>
        <w:tc>
          <w:tcPr>
            <w:tcW w:w="2641" w:type="dxa"/>
            <w:shd w:val="clear" w:color="auto" w:fill="auto"/>
            <w:vAlign w:val="center"/>
          </w:tcPr>
          <w:p>
            <w:pPr>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采购文件要求</w:t>
            </w: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响应应答</w:t>
            </w: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w:t>
            </w:r>
          </w:p>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说明</w:t>
            </w: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技术支撑材料所在页码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03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41"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03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41"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bl>
    <w:p>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文件将视为虚假材料。</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2. </w:t>
      </w:r>
      <w:r>
        <w:rPr>
          <w:rFonts w:hint="eastAsia"/>
          <w:color w:val="000000" w:themeColor="text1"/>
          <w:kern w:val="0"/>
          <w:sz w:val="24"/>
          <w:szCs w:val="21"/>
          <w:highlight w:val="none"/>
          <w14:textFill>
            <w14:solidFill>
              <w14:schemeClr w14:val="tx1"/>
            </w14:solidFill>
          </w14:textFill>
        </w:rPr>
        <w:t>采购文件要求</w:t>
      </w:r>
      <w:r>
        <w:rPr>
          <w:color w:val="000000" w:themeColor="text1"/>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单一来源</w:t>
      </w:r>
      <w:r>
        <w:rPr>
          <w:rFonts w:hint="eastAsia"/>
          <w:color w:val="000000" w:themeColor="text1"/>
          <w:kern w:val="0"/>
          <w:sz w:val="24"/>
          <w:szCs w:val="21"/>
          <w:highlight w:val="none"/>
          <w14:textFill>
            <w14:solidFill>
              <w14:schemeClr w14:val="tx1"/>
            </w14:solidFill>
          </w14:textFill>
        </w:rPr>
        <w:t>采购</w:t>
      </w:r>
      <w:r>
        <w:rPr>
          <w:color w:val="000000" w:themeColor="text1"/>
          <w:sz w:val="24"/>
          <w:highlight w:val="none"/>
          <w14:textFill>
            <w14:solidFill>
              <w14:schemeClr w14:val="tx1"/>
            </w14:solidFill>
          </w14:textFill>
        </w:rPr>
        <w:t>文件中规定的具体要求，</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应答指</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文件的具体内容。</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偏离说明指</w:t>
      </w:r>
      <w:r>
        <w:rPr>
          <w:rFonts w:hint="eastAsia"/>
          <w:color w:val="000000" w:themeColor="text1"/>
          <w:kern w:val="0"/>
          <w:sz w:val="24"/>
          <w:szCs w:val="21"/>
          <w:highlight w:val="none"/>
          <w14:textFill>
            <w14:solidFill>
              <w14:schemeClr w14:val="tx1"/>
            </w14:solidFill>
          </w14:textFill>
        </w:rPr>
        <w:t>采购文件</w:t>
      </w:r>
      <w:r>
        <w:rPr>
          <w:color w:val="000000" w:themeColor="text1"/>
          <w:sz w:val="24"/>
          <w:highlight w:val="none"/>
          <w14:textFill>
            <w14:solidFill>
              <w14:schemeClr w14:val="tx1"/>
            </w14:solidFill>
          </w14:textFill>
        </w:rPr>
        <w:t>要求与</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应答之间的不同之处。</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4. </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在上表“项目需求书要求”的</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应答中必须列出具体数值或内容。如</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未应答或只注明“符合”、“满足”等类似无具体内容的表述，将被视为不符合</w:t>
      </w:r>
      <w:r>
        <w:rPr>
          <w:rFonts w:hint="eastAsia"/>
          <w:color w:val="000000" w:themeColor="text1"/>
          <w:sz w:val="24"/>
          <w:highlight w:val="none"/>
          <w14:textFill>
            <w14:solidFill>
              <w14:schemeClr w14:val="tx1"/>
            </w14:solidFill>
          </w14:textFill>
        </w:rPr>
        <w:t>单一来源采购</w:t>
      </w:r>
      <w:r>
        <w:rPr>
          <w:color w:val="000000" w:themeColor="text1"/>
          <w:sz w:val="24"/>
          <w:highlight w:val="none"/>
          <w14:textFill>
            <w14:solidFill>
              <w14:schemeClr w14:val="tx1"/>
            </w14:solidFill>
          </w14:textFill>
        </w:rPr>
        <w:t>文件要求。</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自行承担由此造成的一切后果。</w:t>
      </w:r>
    </w:p>
    <w:p>
      <w:pPr>
        <w:spacing w:line="400" w:lineRule="exact"/>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供应商名称：</w:t>
      </w:r>
    </w:p>
    <w:p>
      <w:pPr>
        <w:tabs>
          <w:tab w:val="left" w:pos="360"/>
        </w:tabs>
        <w:spacing w:line="400" w:lineRule="exact"/>
        <w:ind w:firstLine="4080" w:firstLineChars="17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line="5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w:t>
      </w:r>
      <w:r>
        <w:rPr>
          <w:rFonts w:hint="eastAsia"/>
          <w:b/>
          <w:color w:val="000000" w:themeColor="text1"/>
          <w:sz w:val="24"/>
          <w:highlight w:val="none"/>
          <w14:textFill>
            <w14:solidFill>
              <w14:schemeClr w14:val="tx1"/>
            </w14:solidFill>
          </w14:textFill>
        </w:rPr>
        <w:t>7</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业绩一览表</w:t>
      </w:r>
    </w:p>
    <w:p>
      <w:pPr>
        <w:spacing w:line="460" w:lineRule="exact"/>
        <w:ind w:left="192"/>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ind w:left="192"/>
        <w:rPr>
          <w:color w:val="000000" w:themeColor="text1"/>
          <w:sz w:val="24"/>
          <w:highlight w:val="none"/>
          <w14:textFill>
            <w14:solidFill>
              <w14:schemeClr w14:val="tx1"/>
            </w14:solidFill>
          </w14:textFill>
        </w:rPr>
      </w:pPr>
    </w:p>
    <w:tbl>
      <w:tblPr>
        <w:tblStyle w:val="34"/>
        <w:tblW w:w="47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129"/>
        <w:gridCol w:w="1357"/>
        <w:gridCol w:w="1634"/>
        <w:gridCol w:w="932"/>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用户单位名称</w:t>
            </w: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项目内容</w:t>
            </w: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用户</w:t>
            </w:r>
            <w:r>
              <w:rPr>
                <w:color w:val="000000" w:themeColor="text1"/>
                <w:sz w:val="24"/>
                <w:highlight w:val="none"/>
                <w14:textFill>
                  <w14:solidFill>
                    <w14:schemeClr w14:val="tx1"/>
                  </w14:solidFill>
                </w14:textFill>
              </w:rPr>
              <w:t>联系人及联系方式</w:t>
            </w: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合同金额</w:t>
            </w: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用户盖章的成功履行合同的相关证明材料页码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bl>
    <w:p>
      <w:pPr>
        <w:spacing w:line="560" w:lineRule="exact"/>
        <w:jc w:val="center"/>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备注：供应商所列业绩应按</w:t>
      </w:r>
      <w:r>
        <w:rPr>
          <w:rFonts w:hint="eastAsia"/>
          <w:color w:val="000000" w:themeColor="text1"/>
          <w:sz w:val="24"/>
          <w:highlight w:val="none"/>
          <w14:textFill>
            <w14:solidFill>
              <w14:schemeClr w14:val="tx1"/>
            </w14:solidFill>
          </w14:textFill>
        </w:rPr>
        <w:t>单一来源采购文件要求“供应商实施能力”</w:t>
      </w:r>
      <w:r>
        <w:rPr>
          <w:color w:val="000000" w:themeColor="text1"/>
          <w:sz w:val="24"/>
          <w:highlight w:val="none"/>
          <w14:textFill>
            <w14:solidFill>
              <w14:schemeClr w14:val="tx1"/>
            </w14:solidFill>
          </w14:textFill>
        </w:rPr>
        <w:t>要求将证明材料按顺序附后。</w:t>
      </w:r>
    </w:p>
    <w:p>
      <w:pPr>
        <w:spacing w:line="560" w:lineRule="exact"/>
        <w:rPr>
          <w:color w:val="000000" w:themeColor="text1"/>
          <w:sz w:val="24"/>
          <w:highlight w:val="none"/>
          <w14:textFill>
            <w14:solidFill>
              <w14:schemeClr w14:val="tx1"/>
            </w14:solidFill>
          </w14:textFill>
        </w:rPr>
      </w:pP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供应商名称：</w:t>
      </w: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460" w:lineRule="exact"/>
        <w:ind w:left="192" w:firstLine="3948" w:firstLineChars="1645"/>
        <w:rPr>
          <w:color w:val="000000" w:themeColor="text1"/>
          <w:sz w:val="24"/>
          <w:highlight w:val="none"/>
          <w14:textFill>
            <w14:solidFill>
              <w14:schemeClr w14:val="tx1"/>
            </w14:solidFill>
          </w14:textFill>
        </w:rPr>
      </w:pPr>
    </w:p>
    <w:p>
      <w:pPr>
        <w:spacing w:line="460" w:lineRule="exact"/>
        <w:ind w:left="-178" w:leftChars="-85" w:firstLine="240" w:firstLineChars="100"/>
        <w:rPr>
          <w:rFonts w:ascii="宋体" w:hAnsi="宋体"/>
          <w:color w:val="000000" w:themeColor="text1"/>
          <w:sz w:val="24"/>
          <w:szCs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line="560" w:lineRule="exact"/>
        <w:jc w:val="lef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附件8</w:t>
      </w:r>
    </w:p>
    <w:p>
      <w:pPr>
        <w:autoSpaceDE w:val="0"/>
        <w:autoSpaceDN w:val="0"/>
        <w:spacing w:line="480" w:lineRule="auto"/>
        <w:jc w:val="center"/>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中小企业声明函（服务）</w:t>
      </w:r>
    </w:p>
    <w:p>
      <w:pPr>
        <w:widowControl/>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u w:val="single"/>
          <w14:textFill>
            <w14:solidFill>
              <w14:schemeClr w14:val="tx1"/>
            </w14:solidFill>
          </w14:textFill>
        </w:rPr>
        <w:t>（请填写项目名称）</w:t>
      </w:r>
      <w:r>
        <w:rPr>
          <w:color w:val="000000" w:themeColor="text1"/>
          <w:sz w:val="24"/>
          <w:szCs w:val="24"/>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请填写标的名称</w:t>
      </w:r>
      <w:r>
        <w:rPr>
          <w:color w:val="000000" w:themeColor="text1"/>
          <w:sz w:val="24"/>
          <w:szCs w:val="24"/>
          <w:highlight w:val="none"/>
          <w14:textFill>
            <w14:solidFill>
              <w14:schemeClr w14:val="tx1"/>
            </w14:solidFill>
          </w14:textFill>
        </w:rPr>
        <w:t>），属于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（请填写本项目采购文件中明确的所属行业）</w:t>
      </w:r>
      <w:r>
        <w:rPr>
          <w:color w:val="000000" w:themeColor="text1"/>
          <w:sz w:val="24"/>
          <w:szCs w:val="24"/>
          <w:highlight w:val="none"/>
          <w14:textFill>
            <w14:solidFill>
              <w14:schemeClr w14:val="tx1"/>
            </w14:solidFill>
          </w14:textFill>
        </w:rPr>
        <w:t>行业；承接企业为</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请填写承接该标的企业名称</w:t>
      </w:r>
      <w:r>
        <w:rPr>
          <w:color w:val="000000" w:themeColor="text1"/>
          <w:sz w:val="24"/>
          <w:szCs w:val="24"/>
          <w:highlight w:val="none"/>
          <w14:textFill>
            <w14:solidFill>
              <w14:schemeClr w14:val="tx1"/>
            </w14:solidFill>
          </w14:textFill>
        </w:rPr>
        <w:t>），从业人员</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人，营业收入为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万元，资产总额为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请根据中小企业划分标准填写中型企业/小型企业/微型企业</w:t>
      </w:r>
      <w:r>
        <w:rPr>
          <w:color w:val="000000" w:themeColor="text1"/>
          <w:sz w:val="24"/>
          <w:szCs w:val="24"/>
          <w:highlight w:val="none"/>
          <w14:textFill>
            <w14:solidFill>
              <w14:schemeClr w14:val="tx1"/>
            </w14:solidFill>
          </w14:textFill>
        </w:rPr>
        <w:t>）；</w:t>
      </w:r>
    </w:p>
    <w:p>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请填写标的名称</w:t>
      </w:r>
      <w:r>
        <w:rPr>
          <w:color w:val="000000" w:themeColor="text1"/>
          <w:sz w:val="24"/>
          <w:szCs w:val="24"/>
          <w:highlight w:val="none"/>
          <w14:textFill>
            <w14:solidFill>
              <w14:schemeClr w14:val="tx1"/>
            </w14:solidFill>
          </w14:textFill>
        </w:rPr>
        <w:t>），属于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（请填写本项目采购文件中明确的所属行业）</w:t>
      </w:r>
      <w:r>
        <w:rPr>
          <w:color w:val="000000" w:themeColor="text1"/>
          <w:sz w:val="24"/>
          <w:szCs w:val="24"/>
          <w:highlight w:val="none"/>
          <w14:textFill>
            <w14:solidFill>
              <w14:schemeClr w14:val="tx1"/>
            </w14:solidFill>
          </w14:textFill>
        </w:rPr>
        <w:t>行业；承接企业为</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请填写承接该标的企业名称</w:t>
      </w:r>
      <w:r>
        <w:rPr>
          <w:color w:val="000000" w:themeColor="text1"/>
          <w:sz w:val="24"/>
          <w:szCs w:val="24"/>
          <w:highlight w:val="none"/>
          <w14:textFill>
            <w14:solidFill>
              <w14:schemeClr w14:val="tx1"/>
            </w14:solidFill>
          </w14:textFill>
        </w:rPr>
        <w:t>），从业人员</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人，营业收入为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万元，资产总额为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请根据中小企业划分标准填写中型企业/小型企业/微型企业</w:t>
      </w:r>
      <w:r>
        <w:rPr>
          <w:color w:val="000000" w:themeColor="text1"/>
          <w:sz w:val="24"/>
          <w:szCs w:val="24"/>
          <w:highlight w:val="none"/>
          <w14:textFill>
            <w14:solidFill>
              <w14:schemeClr w14:val="tx1"/>
            </w14:solidFill>
          </w14:textFill>
        </w:rPr>
        <w:t>）；</w:t>
      </w:r>
    </w:p>
    <w:p>
      <w:pPr>
        <w:autoSpaceDE w:val="0"/>
        <w:autoSpaceDN w:val="0"/>
        <w:spacing w:line="500" w:lineRule="exact"/>
        <w:ind w:left="641"/>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p>
    <w:p>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以上企业，不属于大型企业的分支机构，不存在控股股东为大型企业的情形，也不存在与大型企业的负责人为同一人的情形。</w:t>
      </w:r>
    </w:p>
    <w:p>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本企业对上述声明内容的真实性负责。如有虚假，将依法承担相应责任。</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w:t>
      </w:r>
      <w:r>
        <w:rPr>
          <w:color w:val="000000" w:themeColor="text1"/>
          <w:sz w:val="24"/>
          <w:szCs w:val="24"/>
          <w:highlight w:val="none"/>
          <w14:textFill>
            <w14:solidFill>
              <w14:schemeClr w14:val="tx1"/>
            </w14:solidFill>
          </w14:textFill>
        </w:rPr>
        <w:t>名称：</w:t>
      </w:r>
    </w:p>
    <w:p>
      <w:pPr>
        <w:autoSpaceDE w:val="0"/>
        <w:autoSpaceDN w:val="0"/>
        <w:spacing w:line="500" w:lineRule="exact"/>
        <w:ind w:left="3840"/>
        <w:jc w:val="left"/>
        <w:rPr>
          <w:color w:val="000000" w:themeColor="text1"/>
          <w:sz w:val="32"/>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注：</w:t>
      </w:r>
    </w:p>
    <w:p>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1.标的名称须按照采购文件中明确的标的名称进行填写；所属行业须按照采购文件中明确的所属行业进行填写，否则不享受中小企业扶持政策。</w:t>
      </w:r>
    </w:p>
    <w:p>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2.从业人员、营业收入、资产总额填报上一年度数据，无上一年度数据的新成立企业可不填报。除新成立企业外，上表填写不全的，不享受中小企业扶持政策。</w:t>
      </w:r>
    </w:p>
    <w:p>
      <w:pPr>
        <w:spacing w:line="360" w:lineRule="auto"/>
        <w:ind w:right="84" w:firstLine="241" w:firstLineChars="100"/>
        <w:rPr>
          <w:b/>
          <w:color w:val="000000" w:themeColor="text1"/>
          <w:sz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3.中标（成交）供应商享受中小企业扶持政策的，将随中标（成交）结果同时公告其《中小企业声明函》，接受社会监督。</w:t>
      </w:r>
      <w:r>
        <w:rPr>
          <w:b/>
          <w:color w:val="000000" w:themeColor="text1"/>
          <w:sz w:val="24"/>
          <w:highlight w:val="none"/>
          <w14:textFill>
            <w14:solidFill>
              <w14:schemeClr w14:val="tx1"/>
            </w14:solidFill>
          </w14:textFill>
        </w:rPr>
        <w:br w:type="page"/>
      </w:r>
    </w:p>
    <w:p>
      <w:pPr>
        <w:tabs>
          <w:tab w:val="left" w:pos="360"/>
        </w:tabs>
        <w:spacing w:line="560" w:lineRule="exact"/>
        <w:jc w:val="lef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附件9</w:t>
      </w:r>
    </w:p>
    <w:p>
      <w:pPr>
        <w:spacing w:line="620" w:lineRule="exact"/>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供应商拥有的与项目相关的专利技术、专有技术情况</w:t>
      </w: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tabs>
          <w:tab w:val="left" w:pos="360"/>
        </w:tabs>
        <w:spacing w:line="560" w:lineRule="exact"/>
        <w:ind w:right="1223"/>
        <w:jc w:val="right"/>
        <w:rPr>
          <w:b/>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名称：_____________</w:t>
      </w:r>
    </w:p>
    <w:p>
      <w:pPr>
        <w:tabs>
          <w:tab w:val="left" w:pos="360"/>
        </w:tabs>
        <w:spacing w:line="560" w:lineRule="exact"/>
        <w:ind w:right="1223"/>
        <w:jc w:val="righ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日期：</w:t>
      </w:r>
      <w:r>
        <w:rPr>
          <w:color w:val="000000" w:themeColor="text1"/>
          <w:kern w:val="0"/>
          <w:sz w:val="24"/>
          <w:highlight w:val="none"/>
          <w:u w:val="single"/>
          <w14:textFill>
            <w14:solidFill>
              <w14:schemeClr w14:val="tx1"/>
            </w14:solidFill>
          </w14:textFill>
        </w:rPr>
        <w:t xml:space="preserve">     </w:t>
      </w:r>
      <w:r>
        <w:rPr>
          <w:rFonts w:hint="eastAsia"/>
          <w:color w:val="000000" w:themeColor="text1"/>
          <w:kern w:val="0"/>
          <w:sz w:val="24"/>
          <w:highlight w:val="none"/>
          <w14:textFill>
            <w14:solidFill>
              <w14:schemeClr w14:val="tx1"/>
            </w14:solidFill>
          </w14:textFill>
        </w:rPr>
        <w:t>年</w:t>
      </w:r>
      <w:r>
        <w:rPr>
          <w:color w:val="000000" w:themeColor="text1"/>
          <w:kern w:val="0"/>
          <w:sz w:val="24"/>
          <w:highlight w:val="none"/>
          <w:u w:val="single"/>
          <w14:textFill>
            <w14:solidFill>
              <w14:schemeClr w14:val="tx1"/>
            </w14:solidFill>
          </w14:textFill>
        </w:rPr>
        <w:t xml:space="preserve">    </w:t>
      </w:r>
      <w:r>
        <w:rPr>
          <w:rFonts w:hint="eastAsia"/>
          <w:color w:val="000000" w:themeColor="text1"/>
          <w:kern w:val="0"/>
          <w:sz w:val="24"/>
          <w:highlight w:val="none"/>
          <w14:textFill>
            <w14:solidFill>
              <w14:schemeClr w14:val="tx1"/>
            </w14:solidFill>
          </w14:textFill>
        </w:rPr>
        <w:t>月</w:t>
      </w:r>
      <w:r>
        <w:rPr>
          <w:color w:val="000000" w:themeColor="text1"/>
          <w:kern w:val="0"/>
          <w:sz w:val="24"/>
          <w:highlight w:val="none"/>
          <w:u w:val="single"/>
          <w14:textFill>
            <w14:solidFill>
              <w14:schemeClr w14:val="tx1"/>
            </w14:solidFill>
          </w14:textFill>
        </w:rPr>
        <w:t xml:space="preserve">    </w:t>
      </w:r>
      <w:r>
        <w:rPr>
          <w:rFonts w:hint="eastAsia"/>
          <w:color w:val="000000" w:themeColor="text1"/>
          <w:kern w:val="0"/>
          <w:sz w:val="24"/>
          <w:highlight w:val="none"/>
          <w14:textFill>
            <w14:solidFill>
              <w14:schemeClr w14:val="tx1"/>
            </w14:solidFill>
          </w14:textFill>
        </w:rPr>
        <w:t>日</w:t>
      </w:r>
    </w:p>
    <w:p>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pPr>
        <w:tabs>
          <w:tab w:val="left" w:pos="360"/>
        </w:tabs>
        <w:spacing w:line="560" w:lineRule="exact"/>
        <w:jc w:val="lef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附件10</w:t>
      </w:r>
    </w:p>
    <w:p>
      <w:pPr>
        <w:tabs>
          <w:tab w:val="left" w:pos="360"/>
        </w:tabs>
        <w:spacing w:line="360" w:lineRule="auto"/>
        <w:jc w:val="center"/>
        <w:rPr>
          <w:b/>
          <w:bCs/>
          <w:color w:val="000000" w:themeColor="text1"/>
          <w:sz w:val="24"/>
          <w:highlight w:val="none"/>
          <w14:textFill>
            <w14:solidFill>
              <w14:schemeClr w14:val="tx1"/>
            </w14:solidFill>
          </w14:textFill>
        </w:rPr>
      </w:pPr>
    </w:p>
    <w:p>
      <w:pPr>
        <w:tabs>
          <w:tab w:val="left" w:pos="360"/>
        </w:tabs>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书面</w:t>
      </w:r>
      <w:r>
        <w:rPr>
          <w:b/>
          <w:bCs/>
          <w:color w:val="000000" w:themeColor="text1"/>
          <w:sz w:val="24"/>
          <w:highlight w:val="none"/>
          <w14:textFill>
            <w14:solidFill>
              <w14:schemeClr w14:val="tx1"/>
            </w14:solidFill>
          </w14:textFill>
        </w:rPr>
        <w:t>声明</w:t>
      </w:r>
    </w:p>
    <w:p>
      <w:pPr>
        <w:pStyle w:val="93"/>
        <w:tabs>
          <w:tab w:val="left" w:pos="360"/>
        </w:tabs>
        <w:spacing w:line="360" w:lineRule="auto"/>
        <w:ind w:firstLine="480"/>
        <w:rPr>
          <w:color w:val="000000" w:themeColor="text1"/>
          <w:sz w:val="24"/>
          <w:highlight w:val="none"/>
          <w14:textFill>
            <w14:solidFill>
              <w14:schemeClr w14:val="tx1"/>
            </w14:solidFill>
          </w14:textFill>
        </w:rPr>
      </w:pPr>
    </w:p>
    <w:p>
      <w:pPr>
        <w:pStyle w:val="93"/>
        <w:tabs>
          <w:tab w:val="left" w:pos="360"/>
        </w:tabs>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参加政府采购活动前</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年我单位在经营活动中没有重大违法记录。</w:t>
      </w:r>
    </w:p>
    <w:p>
      <w:pPr>
        <w:pStyle w:val="93"/>
        <w:tabs>
          <w:tab w:val="left" w:pos="360"/>
        </w:tabs>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我单位具备良好的商业信誉和健全的财务会计制度，依法缴纳税收和社会保障资金。</w:t>
      </w:r>
    </w:p>
    <w:p>
      <w:pPr>
        <w:pStyle w:val="93"/>
        <w:tabs>
          <w:tab w:val="left" w:pos="360"/>
        </w:tabs>
        <w:spacing w:line="360" w:lineRule="auto"/>
        <w:ind w:firstLine="480"/>
        <w:rPr>
          <w:color w:val="000000" w:themeColor="text1"/>
          <w:sz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pStyle w:val="93"/>
        <w:tabs>
          <w:tab w:val="left" w:pos="360"/>
        </w:tabs>
        <w:spacing w:line="360" w:lineRule="auto"/>
        <w:ind w:firstLine="0" w:firstLineChars="0"/>
        <w:rPr>
          <w:color w:val="000000" w:themeColor="text1"/>
          <w:sz w:val="24"/>
          <w:highlight w:val="none"/>
          <w:u w:val="single"/>
          <w14:textFill>
            <w14:solidFill>
              <w14:schemeClr w14:val="tx1"/>
            </w14:solidFill>
          </w14:textFill>
        </w:rPr>
      </w:pPr>
      <w:r>
        <w:rPr>
          <w:rFonts w:hint="eastAsia"/>
          <w:color w:val="000000" w:themeColor="text1"/>
          <w:sz w:val="24"/>
          <w:highlight w:val="none"/>
          <w:u w:val="single"/>
          <w14:textFill>
            <w14:solidFill>
              <w14:schemeClr w14:val="tx1"/>
            </w14:solidFill>
          </w14:textFill>
        </w:rPr>
        <w:t xml:space="preserve">                                                                     </w:t>
      </w:r>
    </w:p>
    <w:p>
      <w:pPr>
        <w:pStyle w:val="93"/>
        <w:tabs>
          <w:tab w:val="left" w:pos="360"/>
        </w:tabs>
        <w:spacing w:line="360" w:lineRule="auto"/>
        <w:ind w:firstLine="480"/>
        <w:rPr>
          <w:color w:val="000000" w:themeColor="text1"/>
          <w:sz w:val="24"/>
          <w:highlight w:val="none"/>
          <w14:textFill>
            <w14:solidFill>
              <w14:schemeClr w14:val="tx1"/>
            </w14:solidFill>
          </w14:textFill>
        </w:rPr>
      </w:pPr>
    </w:p>
    <w:p>
      <w:pPr>
        <w:pStyle w:val="93"/>
        <w:spacing w:line="360" w:lineRule="auto"/>
        <w:ind w:firstLine="0" w:firstLineChars="0"/>
        <w:jc w:val="center"/>
        <w:rPr>
          <w:b/>
          <w:color w:val="000000" w:themeColor="text1"/>
          <w:sz w:val="24"/>
          <w:highlight w:val="none"/>
          <w14:textFill>
            <w14:solidFill>
              <w14:schemeClr w14:val="tx1"/>
            </w14:solidFill>
          </w14:textFill>
        </w:rPr>
      </w:pPr>
    </w:p>
    <w:p>
      <w:pPr>
        <w:pStyle w:val="93"/>
        <w:spacing w:line="360" w:lineRule="auto"/>
        <w:ind w:firstLine="0" w:firstLineChars="0"/>
        <w:jc w:val="center"/>
        <w:rPr>
          <w:b/>
          <w:color w:val="000000" w:themeColor="text1"/>
          <w:sz w:val="24"/>
          <w:highlight w:val="none"/>
          <w14:textFill>
            <w14:solidFill>
              <w14:schemeClr w14:val="tx1"/>
            </w14:solidFill>
          </w14:textFill>
        </w:rPr>
      </w:pPr>
    </w:p>
    <w:p>
      <w:pPr>
        <w:pStyle w:val="93"/>
        <w:spacing w:line="360" w:lineRule="auto"/>
        <w:ind w:firstLine="0" w:firstLineChars="0"/>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p>
    <w:p>
      <w:pPr>
        <w:pStyle w:val="93"/>
        <w:tabs>
          <w:tab w:val="left" w:pos="360"/>
        </w:tabs>
        <w:spacing w:line="360" w:lineRule="auto"/>
        <w:ind w:firstLine="480"/>
        <w:rPr>
          <w:color w:val="000000" w:themeColor="text1"/>
          <w:sz w:val="24"/>
          <w:highlight w:val="none"/>
          <w14:textFill>
            <w14:solidFill>
              <w14:schemeClr w14:val="tx1"/>
            </w14:solidFill>
          </w14:textFill>
        </w:rPr>
      </w:pPr>
    </w:p>
    <w:p>
      <w:pPr>
        <w:pStyle w:val="93"/>
        <w:tabs>
          <w:tab w:val="left" w:pos="360"/>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我单位具备</w:t>
      </w:r>
      <w:r>
        <w:rPr>
          <w:rFonts w:hint="eastAsia"/>
          <w:color w:val="000000" w:themeColor="text1"/>
          <w:sz w:val="24"/>
          <w:highlight w:val="none"/>
          <w14:textFill>
            <w14:solidFill>
              <w14:schemeClr w14:val="tx1"/>
            </w14:solidFill>
          </w14:textFill>
        </w:rPr>
        <w:t>履行本项目合同所必需的设备和专业技术能力。</w:t>
      </w:r>
    </w:p>
    <w:p>
      <w:pPr>
        <w:pStyle w:val="93"/>
        <w:tabs>
          <w:tab w:val="left" w:pos="360"/>
        </w:tabs>
        <w:spacing w:line="360" w:lineRule="auto"/>
        <w:ind w:firstLine="480"/>
        <w:rPr>
          <w:color w:val="000000" w:themeColor="text1"/>
          <w:sz w:val="24"/>
          <w:highlight w:val="none"/>
          <w14:textFill>
            <w14:solidFill>
              <w14:schemeClr w14:val="tx1"/>
            </w14:solidFill>
          </w14:textFill>
        </w:rPr>
      </w:pPr>
    </w:p>
    <w:p>
      <w:pPr>
        <w:pStyle w:val="93"/>
        <w:tabs>
          <w:tab w:val="left" w:pos="360"/>
        </w:tabs>
        <w:spacing w:line="360" w:lineRule="auto"/>
        <w:ind w:firstLine="480"/>
        <w:rPr>
          <w:color w:val="000000" w:themeColor="text1"/>
          <w:sz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b/>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pPr>
        <w:tabs>
          <w:tab w:val="left" w:pos="360"/>
        </w:tabs>
        <w:spacing w:line="360" w:lineRule="auto"/>
        <w:ind w:firstLine="482" w:firstLineChars="200"/>
        <w:rPr>
          <w:b/>
          <w:bCs/>
          <w:color w:val="000000" w:themeColor="text1"/>
          <w:sz w:val="24"/>
          <w:highlight w:val="none"/>
          <w14:textFill>
            <w14:solidFill>
              <w14:schemeClr w14:val="tx1"/>
            </w14:solidFill>
          </w14:textFill>
        </w:rPr>
      </w:pPr>
    </w:p>
    <w:p>
      <w:pPr>
        <w:autoSpaceDN w:val="0"/>
        <w:spacing w:line="360" w:lineRule="auto"/>
        <w:jc w:val="left"/>
        <w:rPr>
          <w:b/>
          <w:bCs/>
          <w:color w:val="000000" w:themeColor="text1"/>
          <w:sz w:val="24"/>
          <w:highlight w:val="none"/>
          <w14:textFill>
            <w14:solidFill>
              <w14:schemeClr w14:val="tx1"/>
            </w14:solidFill>
          </w14:textFill>
        </w:rPr>
      </w:pPr>
    </w:p>
    <w:p>
      <w:pPr>
        <w:autoSpaceDN w:val="0"/>
        <w:spacing w:line="360" w:lineRule="auto"/>
        <w:jc w:val="left"/>
        <w:rPr>
          <w:b/>
          <w:bCs/>
          <w:color w:val="000000" w:themeColor="text1"/>
          <w:sz w:val="24"/>
          <w:highlight w:val="none"/>
          <w14:textFill>
            <w14:solidFill>
              <w14:schemeClr w14:val="tx1"/>
            </w14:solidFill>
          </w14:textFill>
        </w:rPr>
      </w:pPr>
    </w:p>
    <w:p>
      <w:pPr>
        <w:widowControl/>
        <w:jc w:val="left"/>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br w:type="page"/>
      </w:r>
    </w:p>
    <w:p>
      <w:pPr>
        <w:autoSpaceDN w:val="0"/>
        <w:spacing w:line="360" w:lineRule="auto"/>
        <w:jc w:val="left"/>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附件11</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供应商认为需要提供的其他材料</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sectPr>
      <w:headerReference r:id="rId4" w:type="default"/>
      <w:footerReference r:id="rId5"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rPr>
      <w:t>-1-</w:t>
    </w:r>
    <w:r>
      <w:rPr>
        <w:rStyle w:val="38"/>
      </w:rPr>
      <w:fldChar w:fldCharType="begin"/>
    </w:r>
    <w:r>
      <w:rPr>
        <w:rStyle w:val="38"/>
      </w:rPr>
      <w:instrText xml:space="preserve"> PAGE </w:instrText>
    </w:r>
    <w:r>
      <w:rPr>
        <w:rStyle w:val="38"/>
      </w:rPr>
      <w:fldChar w:fldCharType="separate"/>
    </w:r>
    <w:r>
      <w:rPr>
        <w:rStyle w:val="38"/>
      </w:rPr>
      <w:t>2</w:t>
    </w:r>
    <w:r>
      <w:rPr>
        <w:rStyle w:val="3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pPr>
    <w:r>
      <w:rPr>
        <w:rFonts w:hint="eastAsia"/>
      </w:rPr>
      <w:t xml:space="preserve"> 单一来源谈判文件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B05EE"/>
    <w:multiLevelType w:val="multilevel"/>
    <w:tmpl w:val="091B05EE"/>
    <w:lvl w:ilvl="0" w:tentative="0">
      <w:start w:val="1"/>
      <w:numFmt w:val="japaneseCounting"/>
      <w:pStyle w:val="95"/>
      <w:lvlText w:val="%1、"/>
      <w:lvlJc w:val="left"/>
      <w:pPr>
        <w:tabs>
          <w:tab w:val="left" w:pos="960"/>
        </w:tabs>
        <w:ind w:left="960" w:hanging="480"/>
      </w:pPr>
      <w:rPr>
        <w:rFonts w:hint="eastAsia"/>
      </w:rPr>
    </w:lvl>
    <w:lvl w:ilvl="1" w:tentative="0">
      <w:start w:val="1"/>
      <w:numFmt w:val="decimal"/>
      <w:lvlText w:val="%2、"/>
      <w:lvlJc w:val="left"/>
      <w:pPr>
        <w:tabs>
          <w:tab w:val="left" w:pos="1725"/>
        </w:tabs>
        <w:ind w:left="1725" w:hanging="825"/>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AC42944"/>
    <w:multiLevelType w:val="multilevel"/>
    <w:tmpl w:val="0AC42944"/>
    <w:lvl w:ilvl="0" w:tentative="0">
      <w:start w:val="1"/>
      <w:numFmt w:val="bullet"/>
      <w:pStyle w:val="2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3">
    <w:nsid w:val="1E7C36A6"/>
    <w:multiLevelType w:val="multilevel"/>
    <w:tmpl w:val="1E7C36A6"/>
    <w:lvl w:ilvl="0" w:tentative="0">
      <w:start w:val="1"/>
      <w:numFmt w:val="decimal"/>
      <w:lvlText w:val="%1."/>
      <w:lvlJc w:val="left"/>
      <w:pPr>
        <w:tabs>
          <w:tab w:val="left" w:pos="360"/>
        </w:tabs>
        <w:ind w:left="360" w:hanging="360"/>
      </w:pPr>
      <w:rPr>
        <w:rFonts w:hint="default"/>
      </w:rPr>
    </w:lvl>
    <w:lvl w:ilvl="1" w:tentative="0">
      <w:start w:val="1"/>
      <w:numFmt w:val="decimal"/>
      <w:pStyle w:val="90"/>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30EA2C58"/>
    <w:multiLevelType w:val="multilevel"/>
    <w:tmpl w:val="30EA2C58"/>
    <w:lvl w:ilvl="0" w:tentative="0">
      <w:start w:val="1"/>
      <w:numFmt w:val="bullet"/>
      <w:lvlText w:val=""/>
      <w:lvlJc w:val="left"/>
      <w:pPr>
        <w:ind w:left="880" w:hanging="440"/>
      </w:pPr>
      <w:rPr>
        <w:rFonts w:hint="default" w:ascii="Wingdings" w:hAnsi="Wingdings"/>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5">
    <w:nsid w:val="33451038"/>
    <w:multiLevelType w:val="multilevel"/>
    <w:tmpl w:val="33451038"/>
    <w:lvl w:ilvl="0" w:tentative="0">
      <w:start w:val="1"/>
      <w:numFmt w:val="bullet"/>
      <w:lvlText w:val=""/>
      <w:lvlJc w:val="left"/>
      <w:pPr>
        <w:ind w:left="880" w:hanging="440"/>
      </w:pPr>
      <w:rPr>
        <w:rFonts w:hint="default" w:ascii="Wingdings" w:hAnsi="Wingdings"/>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6">
    <w:nsid w:val="43542D7C"/>
    <w:multiLevelType w:val="multilevel"/>
    <w:tmpl w:val="43542D7C"/>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7">
    <w:nsid w:val="4F9B2206"/>
    <w:multiLevelType w:val="multilevel"/>
    <w:tmpl w:val="4F9B2206"/>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8">
    <w:nsid w:val="53BE6FC0"/>
    <w:multiLevelType w:val="multilevel"/>
    <w:tmpl w:val="53BE6FC0"/>
    <w:lvl w:ilvl="0" w:tentative="0">
      <w:start w:val="1"/>
      <w:numFmt w:val="decimal"/>
      <w:pStyle w:val="142"/>
      <w:lvlText w:val="%1. "/>
      <w:lvlJc w:val="left"/>
      <w:pPr>
        <w:tabs>
          <w:tab w:val="left" w:pos="839"/>
        </w:tabs>
        <w:ind w:left="839" w:hanging="419"/>
      </w:pPr>
      <w:rPr>
        <w:rFonts w:hint="eastAsia"/>
      </w:rPr>
    </w:lvl>
    <w:lvl w:ilvl="1" w:tentative="0">
      <w:start w:val="1"/>
      <w:numFmt w:val="upperLetter"/>
      <w:pStyle w:val="143"/>
      <w:lvlText w:val="%2. "/>
      <w:lvlJc w:val="left"/>
      <w:pPr>
        <w:tabs>
          <w:tab w:val="left" w:pos="1049"/>
        </w:tabs>
        <w:ind w:left="1049" w:hanging="420"/>
      </w:pPr>
      <w:rPr>
        <w:rFonts w:hint="eastAsia"/>
      </w:rPr>
    </w:lvl>
    <w:lvl w:ilvl="2" w:tentative="0">
      <w:start w:val="1"/>
      <w:numFmt w:val="lowerLetter"/>
      <w:pStyle w:val="144"/>
      <w:lvlText w:val="%3. "/>
      <w:lvlJc w:val="left"/>
      <w:pPr>
        <w:tabs>
          <w:tab w:val="left" w:pos="1259"/>
        </w:tabs>
        <w:ind w:left="1259" w:hanging="420"/>
      </w:pPr>
      <w:rPr>
        <w:rFonts w:hint="eastAsia"/>
      </w:rPr>
    </w:lvl>
    <w:lvl w:ilvl="3" w:tentative="0">
      <w:start w:val="1"/>
      <w:numFmt w:val="lowerLetter"/>
      <w:pStyle w:val="145"/>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9">
    <w:nsid w:val="61164534"/>
    <w:multiLevelType w:val="multilevel"/>
    <w:tmpl w:val="61164534"/>
    <w:lvl w:ilvl="0" w:tentative="0">
      <w:start w:val="1"/>
      <w:numFmt w:val="bullet"/>
      <w:pStyle w:val="79"/>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785C46BD"/>
    <w:multiLevelType w:val="multilevel"/>
    <w:tmpl w:val="785C46BD"/>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1">
    <w:nsid w:val="7AA00F8D"/>
    <w:multiLevelType w:val="multilevel"/>
    <w:tmpl w:val="7AA00F8D"/>
    <w:lvl w:ilvl="0" w:tentative="0">
      <w:start w:val="1"/>
      <w:numFmt w:val="decimal"/>
      <w:pStyle w:val="92"/>
      <w:lvlText w:val="（%1）"/>
      <w:lvlJc w:val="left"/>
      <w:pPr>
        <w:ind w:left="1080" w:hanging="36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
  </w:num>
  <w:num w:numId="2">
    <w:abstractNumId w:val="9"/>
  </w:num>
  <w:num w:numId="3">
    <w:abstractNumId w:val="3"/>
  </w:num>
  <w:num w:numId="4">
    <w:abstractNumId w:val="11"/>
  </w:num>
  <w:num w:numId="5">
    <w:abstractNumId w:val="0"/>
  </w:num>
  <w:num w:numId="6">
    <w:abstractNumId w:val="8"/>
  </w:num>
  <w:num w:numId="7">
    <w:abstractNumId w:val="10"/>
  </w:num>
  <w:num w:numId="8">
    <w:abstractNumId w:val="5"/>
  </w:num>
  <w:num w:numId="9">
    <w:abstractNumId w:val="4"/>
  </w:num>
  <w:num w:numId="10">
    <w:abstractNumId w:val="7"/>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016049"/>
    <w:rsid w:val="00000C78"/>
    <w:rsid w:val="00002D34"/>
    <w:rsid w:val="00003271"/>
    <w:rsid w:val="00005DB0"/>
    <w:rsid w:val="00013991"/>
    <w:rsid w:val="00016049"/>
    <w:rsid w:val="00032142"/>
    <w:rsid w:val="00035378"/>
    <w:rsid w:val="0006564D"/>
    <w:rsid w:val="0006571F"/>
    <w:rsid w:val="00067E5F"/>
    <w:rsid w:val="00077E14"/>
    <w:rsid w:val="000905CA"/>
    <w:rsid w:val="000A05D8"/>
    <w:rsid w:val="000B089C"/>
    <w:rsid w:val="000B2299"/>
    <w:rsid w:val="000C41DB"/>
    <w:rsid w:val="000E67DA"/>
    <w:rsid w:val="000F6EAC"/>
    <w:rsid w:val="00103E1D"/>
    <w:rsid w:val="00107540"/>
    <w:rsid w:val="00121722"/>
    <w:rsid w:val="001228A6"/>
    <w:rsid w:val="00123DED"/>
    <w:rsid w:val="00136099"/>
    <w:rsid w:val="00143333"/>
    <w:rsid w:val="0017065A"/>
    <w:rsid w:val="00170AF8"/>
    <w:rsid w:val="0017671B"/>
    <w:rsid w:val="00184507"/>
    <w:rsid w:val="00191468"/>
    <w:rsid w:val="001920DA"/>
    <w:rsid w:val="001B7F34"/>
    <w:rsid w:val="001D365E"/>
    <w:rsid w:val="001D431D"/>
    <w:rsid w:val="001F165E"/>
    <w:rsid w:val="001F41F7"/>
    <w:rsid w:val="001F7D65"/>
    <w:rsid w:val="00205249"/>
    <w:rsid w:val="0021598E"/>
    <w:rsid w:val="00222ABF"/>
    <w:rsid w:val="00236459"/>
    <w:rsid w:val="00237763"/>
    <w:rsid w:val="002559B0"/>
    <w:rsid w:val="00255E17"/>
    <w:rsid w:val="00260FE2"/>
    <w:rsid w:val="002D0C04"/>
    <w:rsid w:val="002D798B"/>
    <w:rsid w:val="002E2FA2"/>
    <w:rsid w:val="003028F1"/>
    <w:rsid w:val="0030509D"/>
    <w:rsid w:val="003364FB"/>
    <w:rsid w:val="00346F9C"/>
    <w:rsid w:val="003775EB"/>
    <w:rsid w:val="003848C9"/>
    <w:rsid w:val="003927CA"/>
    <w:rsid w:val="003965F5"/>
    <w:rsid w:val="003A708F"/>
    <w:rsid w:val="003B100E"/>
    <w:rsid w:val="003B4DA9"/>
    <w:rsid w:val="003C0DBA"/>
    <w:rsid w:val="003D0977"/>
    <w:rsid w:val="003D5655"/>
    <w:rsid w:val="003E5A68"/>
    <w:rsid w:val="004049EB"/>
    <w:rsid w:val="00467815"/>
    <w:rsid w:val="004749BC"/>
    <w:rsid w:val="00482546"/>
    <w:rsid w:val="0049613C"/>
    <w:rsid w:val="004A4DF9"/>
    <w:rsid w:val="004B408A"/>
    <w:rsid w:val="004B665E"/>
    <w:rsid w:val="004B678E"/>
    <w:rsid w:val="004E4174"/>
    <w:rsid w:val="004E54E2"/>
    <w:rsid w:val="00502E25"/>
    <w:rsid w:val="00503D4F"/>
    <w:rsid w:val="00517E83"/>
    <w:rsid w:val="00520B0E"/>
    <w:rsid w:val="005268DC"/>
    <w:rsid w:val="00537206"/>
    <w:rsid w:val="00537AA6"/>
    <w:rsid w:val="00552A68"/>
    <w:rsid w:val="00562BB4"/>
    <w:rsid w:val="005656FA"/>
    <w:rsid w:val="00573DE4"/>
    <w:rsid w:val="00584EC7"/>
    <w:rsid w:val="00593A09"/>
    <w:rsid w:val="00597CE2"/>
    <w:rsid w:val="005A10F1"/>
    <w:rsid w:val="005C1B11"/>
    <w:rsid w:val="005C2EFF"/>
    <w:rsid w:val="005E3315"/>
    <w:rsid w:val="005F1B85"/>
    <w:rsid w:val="005F47DF"/>
    <w:rsid w:val="005F6DCD"/>
    <w:rsid w:val="0060115F"/>
    <w:rsid w:val="00616B7A"/>
    <w:rsid w:val="006253E4"/>
    <w:rsid w:val="00630633"/>
    <w:rsid w:val="00630A4C"/>
    <w:rsid w:val="006378B7"/>
    <w:rsid w:val="00651E4A"/>
    <w:rsid w:val="006540C0"/>
    <w:rsid w:val="006616BC"/>
    <w:rsid w:val="0066653F"/>
    <w:rsid w:val="00683CAF"/>
    <w:rsid w:val="0069322A"/>
    <w:rsid w:val="006C19F8"/>
    <w:rsid w:val="006D0D45"/>
    <w:rsid w:val="006D53DE"/>
    <w:rsid w:val="006D5E2C"/>
    <w:rsid w:val="006D6ACB"/>
    <w:rsid w:val="006D79C6"/>
    <w:rsid w:val="006F1116"/>
    <w:rsid w:val="006F3356"/>
    <w:rsid w:val="006F355A"/>
    <w:rsid w:val="006F5700"/>
    <w:rsid w:val="007016EA"/>
    <w:rsid w:val="00707B8C"/>
    <w:rsid w:val="00745A05"/>
    <w:rsid w:val="00756D6A"/>
    <w:rsid w:val="00760DF4"/>
    <w:rsid w:val="007718BD"/>
    <w:rsid w:val="007868C6"/>
    <w:rsid w:val="0079192A"/>
    <w:rsid w:val="007B317D"/>
    <w:rsid w:val="007C0294"/>
    <w:rsid w:val="008059DF"/>
    <w:rsid w:val="00825D3A"/>
    <w:rsid w:val="00826B6B"/>
    <w:rsid w:val="008316A1"/>
    <w:rsid w:val="00832719"/>
    <w:rsid w:val="0083490E"/>
    <w:rsid w:val="00845119"/>
    <w:rsid w:val="00846F4B"/>
    <w:rsid w:val="0086581D"/>
    <w:rsid w:val="00881A38"/>
    <w:rsid w:val="00893726"/>
    <w:rsid w:val="00894A17"/>
    <w:rsid w:val="008B3146"/>
    <w:rsid w:val="008C5C96"/>
    <w:rsid w:val="008C6121"/>
    <w:rsid w:val="008D0B89"/>
    <w:rsid w:val="008D37E8"/>
    <w:rsid w:val="008F25C5"/>
    <w:rsid w:val="008F4A76"/>
    <w:rsid w:val="008F6A9F"/>
    <w:rsid w:val="008F7425"/>
    <w:rsid w:val="00905954"/>
    <w:rsid w:val="00930578"/>
    <w:rsid w:val="009429BA"/>
    <w:rsid w:val="009500A0"/>
    <w:rsid w:val="009512B1"/>
    <w:rsid w:val="00951719"/>
    <w:rsid w:val="009652F5"/>
    <w:rsid w:val="00966224"/>
    <w:rsid w:val="009955A9"/>
    <w:rsid w:val="00995A1A"/>
    <w:rsid w:val="009C3A34"/>
    <w:rsid w:val="009C6BF0"/>
    <w:rsid w:val="009C77F3"/>
    <w:rsid w:val="009E3E62"/>
    <w:rsid w:val="009F398F"/>
    <w:rsid w:val="00A31B9B"/>
    <w:rsid w:val="00A35402"/>
    <w:rsid w:val="00A46101"/>
    <w:rsid w:val="00A50111"/>
    <w:rsid w:val="00A52BF4"/>
    <w:rsid w:val="00A53072"/>
    <w:rsid w:val="00A56FA9"/>
    <w:rsid w:val="00A654F6"/>
    <w:rsid w:val="00A66804"/>
    <w:rsid w:val="00A701BE"/>
    <w:rsid w:val="00A7020A"/>
    <w:rsid w:val="00A776DC"/>
    <w:rsid w:val="00A813F4"/>
    <w:rsid w:val="00A91795"/>
    <w:rsid w:val="00AB0C66"/>
    <w:rsid w:val="00AB286F"/>
    <w:rsid w:val="00AD37DB"/>
    <w:rsid w:val="00AE5A71"/>
    <w:rsid w:val="00AE5D38"/>
    <w:rsid w:val="00AF20F8"/>
    <w:rsid w:val="00B049A1"/>
    <w:rsid w:val="00B22DB5"/>
    <w:rsid w:val="00B30C2E"/>
    <w:rsid w:val="00B30C6E"/>
    <w:rsid w:val="00B367C4"/>
    <w:rsid w:val="00B40965"/>
    <w:rsid w:val="00B45BB9"/>
    <w:rsid w:val="00B47EBE"/>
    <w:rsid w:val="00B55015"/>
    <w:rsid w:val="00B5552A"/>
    <w:rsid w:val="00B607AC"/>
    <w:rsid w:val="00B644A0"/>
    <w:rsid w:val="00B76794"/>
    <w:rsid w:val="00B83B7B"/>
    <w:rsid w:val="00B96F3D"/>
    <w:rsid w:val="00BA6A0F"/>
    <w:rsid w:val="00BD6338"/>
    <w:rsid w:val="00BE3FCB"/>
    <w:rsid w:val="00BF1054"/>
    <w:rsid w:val="00C03F02"/>
    <w:rsid w:val="00C209FA"/>
    <w:rsid w:val="00C2186E"/>
    <w:rsid w:val="00C249CA"/>
    <w:rsid w:val="00C35C7C"/>
    <w:rsid w:val="00C4053E"/>
    <w:rsid w:val="00C82460"/>
    <w:rsid w:val="00C8740D"/>
    <w:rsid w:val="00C96403"/>
    <w:rsid w:val="00CA5B1F"/>
    <w:rsid w:val="00CB13FA"/>
    <w:rsid w:val="00CC22B8"/>
    <w:rsid w:val="00CE2492"/>
    <w:rsid w:val="00CF6DA3"/>
    <w:rsid w:val="00D1098A"/>
    <w:rsid w:val="00D410DD"/>
    <w:rsid w:val="00D500BA"/>
    <w:rsid w:val="00D52963"/>
    <w:rsid w:val="00D53B05"/>
    <w:rsid w:val="00D6401B"/>
    <w:rsid w:val="00D74069"/>
    <w:rsid w:val="00D9762B"/>
    <w:rsid w:val="00DA11A1"/>
    <w:rsid w:val="00DB0ABB"/>
    <w:rsid w:val="00DB1ADD"/>
    <w:rsid w:val="00DB2F3C"/>
    <w:rsid w:val="00DB38B5"/>
    <w:rsid w:val="00DB43E3"/>
    <w:rsid w:val="00DD7297"/>
    <w:rsid w:val="00DD7B53"/>
    <w:rsid w:val="00DF562B"/>
    <w:rsid w:val="00E0211A"/>
    <w:rsid w:val="00E07C9D"/>
    <w:rsid w:val="00E2202B"/>
    <w:rsid w:val="00E2424D"/>
    <w:rsid w:val="00E25EEB"/>
    <w:rsid w:val="00E26425"/>
    <w:rsid w:val="00E32233"/>
    <w:rsid w:val="00E32D2C"/>
    <w:rsid w:val="00E5739C"/>
    <w:rsid w:val="00E61705"/>
    <w:rsid w:val="00E6330C"/>
    <w:rsid w:val="00E66003"/>
    <w:rsid w:val="00E665DB"/>
    <w:rsid w:val="00E74FE6"/>
    <w:rsid w:val="00E77273"/>
    <w:rsid w:val="00E9672E"/>
    <w:rsid w:val="00EA61F8"/>
    <w:rsid w:val="00EA64FA"/>
    <w:rsid w:val="00EB0878"/>
    <w:rsid w:val="00EB4379"/>
    <w:rsid w:val="00EC614A"/>
    <w:rsid w:val="00EE79D2"/>
    <w:rsid w:val="00F13326"/>
    <w:rsid w:val="00F13976"/>
    <w:rsid w:val="00F23F15"/>
    <w:rsid w:val="00F34876"/>
    <w:rsid w:val="00F363B4"/>
    <w:rsid w:val="00F36CE6"/>
    <w:rsid w:val="00F42B86"/>
    <w:rsid w:val="00F54BDB"/>
    <w:rsid w:val="00F61BDF"/>
    <w:rsid w:val="00F76A53"/>
    <w:rsid w:val="00F830AE"/>
    <w:rsid w:val="00F8380D"/>
    <w:rsid w:val="00F84443"/>
    <w:rsid w:val="00F872A4"/>
    <w:rsid w:val="00F96532"/>
    <w:rsid w:val="00FC3225"/>
    <w:rsid w:val="00FC3947"/>
    <w:rsid w:val="00FC54E2"/>
    <w:rsid w:val="00FD0665"/>
    <w:rsid w:val="00FD381E"/>
    <w:rsid w:val="00FD6DE2"/>
    <w:rsid w:val="00FF7B22"/>
    <w:rsid w:val="033835B9"/>
    <w:rsid w:val="050D4849"/>
    <w:rsid w:val="0F0A004B"/>
    <w:rsid w:val="12504D05"/>
    <w:rsid w:val="1EBA5CCF"/>
    <w:rsid w:val="20F50735"/>
    <w:rsid w:val="253C3621"/>
    <w:rsid w:val="262470B9"/>
    <w:rsid w:val="28AD1D1C"/>
    <w:rsid w:val="2C1A10A1"/>
    <w:rsid w:val="2D4B534E"/>
    <w:rsid w:val="2DF81343"/>
    <w:rsid w:val="33E32A95"/>
    <w:rsid w:val="34A22B17"/>
    <w:rsid w:val="35386E11"/>
    <w:rsid w:val="409D5F53"/>
    <w:rsid w:val="4DE81FCA"/>
    <w:rsid w:val="4E1C29D4"/>
    <w:rsid w:val="53B9217A"/>
    <w:rsid w:val="5A074538"/>
    <w:rsid w:val="70BD2502"/>
    <w:rsid w:val="70EC28BD"/>
    <w:rsid w:val="7C046BD2"/>
    <w:rsid w:val="7C28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53"/>
    <w:qFormat/>
    <w:uiPriority w:val="99"/>
    <w:pPr>
      <w:keepNext/>
      <w:outlineLvl w:val="0"/>
    </w:pPr>
    <w:rPr>
      <w:sz w:val="28"/>
    </w:rPr>
  </w:style>
  <w:style w:type="paragraph" w:styleId="3">
    <w:name w:val="heading 2"/>
    <w:basedOn w:val="1"/>
    <w:next w:val="1"/>
    <w:link w:val="55"/>
    <w:qFormat/>
    <w:uiPriority w:val="0"/>
    <w:pPr>
      <w:keepNext/>
      <w:ind w:left="-39" w:leftChars="-19" w:hanging="1"/>
      <w:outlineLvl w:val="1"/>
    </w:pPr>
    <w:rPr>
      <w:rFonts w:ascii="宋体" w:hAnsi="宋体"/>
      <w:sz w:val="28"/>
      <w:szCs w:val="24"/>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paragraph" w:styleId="5">
    <w:name w:val="heading 4"/>
    <w:basedOn w:val="1"/>
    <w:next w:val="1"/>
    <w:link w:val="47"/>
    <w:qFormat/>
    <w:uiPriority w:val="0"/>
    <w:pPr>
      <w:keepNext/>
      <w:keepLines/>
      <w:spacing w:line="376" w:lineRule="auto"/>
      <w:ind w:left="100" w:leftChars="100" w:right="100" w:rightChars="100"/>
      <w:outlineLvl w:val="3"/>
    </w:pPr>
    <w:rPr>
      <w:rFonts w:ascii="Arial" w:hAnsi="Arial"/>
      <w:b/>
      <w:bCs/>
      <w:sz w:val="32"/>
      <w:szCs w:val="28"/>
    </w:rPr>
  </w:style>
  <w:style w:type="paragraph" w:styleId="6">
    <w:name w:val="heading 5"/>
    <w:basedOn w:val="1"/>
    <w:next w:val="1"/>
    <w:link w:val="48"/>
    <w:qFormat/>
    <w:uiPriority w:val="0"/>
    <w:pPr>
      <w:keepNext/>
      <w:keepLines/>
      <w:spacing w:before="280" w:after="290" w:line="360" w:lineRule="auto"/>
      <w:jc w:val="left"/>
      <w:outlineLvl w:val="4"/>
    </w:pPr>
    <w:rPr>
      <w:rFonts w:ascii="仿宋_GB2312" w:hAnsi="仿宋_GB2312" w:eastAsia="仿宋_GB2312" w:cs="仿宋_GB2312"/>
      <w:sz w:val="28"/>
      <w:szCs w:val="28"/>
    </w:rPr>
  </w:style>
  <w:style w:type="paragraph" w:styleId="7">
    <w:name w:val="heading 6"/>
    <w:basedOn w:val="1"/>
    <w:next w:val="1"/>
    <w:link w:val="49"/>
    <w:qFormat/>
    <w:uiPriority w:val="0"/>
    <w:pPr>
      <w:keepNext/>
      <w:keepLines/>
      <w:tabs>
        <w:tab w:val="left" w:pos="1152"/>
      </w:tabs>
      <w:spacing w:before="100" w:beforeAutospacing="1" w:after="100" w:afterAutospacing="1"/>
      <w:ind w:left="1152" w:hanging="1152"/>
      <w:outlineLvl w:val="5"/>
    </w:pPr>
    <w:rPr>
      <w:b/>
      <w:bCs/>
      <w:szCs w:val="24"/>
      <w:lang w:val="zh-CN" w:eastAsia="zh-CN"/>
    </w:rPr>
  </w:style>
  <w:style w:type="paragraph" w:styleId="8">
    <w:name w:val="heading 7"/>
    <w:basedOn w:val="1"/>
    <w:next w:val="1"/>
    <w:link w:val="50"/>
    <w:qFormat/>
    <w:uiPriority w:val="0"/>
    <w:pPr>
      <w:keepNext/>
      <w:keepLines/>
      <w:tabs>
        <w:tab w:val="left" w:pos="1296"/>
      </w:tabs>
      <w:spacing w:before="100" w:beforeAutospacing="1" w:after="100" w:afterAutospacing="1"/>
      <w:ind w:left="1296" w:hanging="1296"/>
      <w:outlineLvl w:val="6"/>
    </w:pPr>
    <w:rPr>
      <w:b/>
      <w:bCs/>
      <w:szCs w:val="24"/>
      <w:lang w:val="zh-CN" w:eastAsia="zh-CN"/>
    </w:rPr>
  </w:style>
  <w:style w:type="paragraph" w:styleId="9">
    <w:name w:val="heading 8"/>
    <w:basedOn w:val="1"/>
    <w:next w:val="1"/>
    <w:link w:val="51"/>
    <w:qFormat/>
    <w:uiPriority w:val="0"/>
    <w:pPr>
      <w:keepNext/>
      <w:keepLines/>
      <w:tabs>
        <w:tab w:val="left" w:pos="1440"/>
      </w:tabs>
      <w:spacing w:before="100" w:beforeAutospacing="1" w:after="100" w:afterAutospacing="1"/>
      <w:ind w:left="1440" w:hanging="1440"/>
      <w:outlineLvl w:val="7"/>
    </w:pPr>
    <w:rPr>
      <w:b/>
      <w:szCs w:val="24"/>
      <w:lang w:val="zh-CN" w:eastAsia="zh-CN"/>
    </w:rPr>
  </w:style>
  <w:style w:type="paragraph" w:styleId="10">
    <w:name w:val="heading 9"/>
    <w:basedOn w:val="1"/>
    <w:next w:val="1"/>
    <w:link w:val="52"/>
    <w:qFormat/>
    <w:uiPriority w:val="0"/>
    <w:pPr>
      <w:keepNext/>
      <w:keepLines/>
      <w:tabs>
        <w:tab w:val="left" w:pos="1584"/>
      </w:tabs>
      <w:spacing w:before="100" w:beforeAutospacing="1" w:after="100" w:afterAutospacing="1"/>
      <w:ind w:left="1584" w:hanging="1584"/>
      <w:outlineLvl w:val="8"/>
    </w:pPr>
    <w:rPr>
      <w:b/>
      <w:szCs w:val="21"/>
      <w:lang w:val="zh-CN" w:eastAsia="zh-CN"/>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56"/>
    <w:qFormat/>
    <w:uiPriority w:val="99"/>
    <w:pPr>
      <w:ind w:firstLine="420"/>
    </w:pPr>
  </w:style>
  <w:style w:type="paragraph" w:styleId="12">
    <w:name w:val="Document Map"/>
    <w:basedOn w:val="1"/>
    <w:link w:val="114"/>
    <w:uiPriority w:val="0"/>
    <w:pPr>
      <w:shd w:val="clear" w:color="auto" w:fill="000080"/>
      <w:spacing w:before="100" w:beforeAutospacing="1" w:after="100" w:afterAutospacing="1"/>
    </w:pPr>
    <w:rPr>
      <w:szCs w:val="24"/>
      <w:lang w:val="zh-CN" w:eastAsia="zh-CN"/>
    </w:rPr>
  </w:style>
  <w:style w:type="paragraph" w:styleId="13">
    <w:name w:val="annotation text"/>
    <w:basedOn w:val="1"/>
    <w:link w:val="88"/>
    <w:semiHidden/>
    <w:qFormat/>
    <w:uiPriority w:val="0"/>
    <w:pPr>
      <w:jc w:val="left"/>
    </w:pPr>
    <w:rPr>
      <w:rFonts w:asciiTheme="minorHAnsi" w:hAnsiTheme="minorHAnsi" w:cstheme="minorBidi"/>
      <w:szCs w:val="24"/>
    </w:rPr>
  </w:style>
  <w:style w:type="paragraph" w:styleId="14">
    <w:name w:val="Body Text"/>
    <w:basedOn w:val="1"/>
    <w:link w:val="62"/>
    <w:qFormat/>
    <w:uiPriority w:val="0"/>
    <w:pPr>
      <w:tabs>
        <w:tab w:val="left" w:pos="2674"/>
      </w:tabs>
      <w:spacing w:line="560" w:lineRule="exact"/>
    </w:pPr>
    <w:rPr>
      <w:rFonts w:ascii="宋体" w:hAnsi="宋体"/>
      <w:sz w:val="24"/>
      <w:lang w:val="zh-CN" w:eastAsia="zh-CN"/>
    </w:rPr>
  </w:style>
  <w:style w:type="paragraph" w:styleId="15">
    <w:name w:val="Body Text Indent"/>
    <w:basedOn w:val="1"/>
    <w:link w:val="58"/>
    <w:qFormat/>
    <w:uiPriority w:val="0"/>
    <w:pPr>
      <w:spacing w:line="460" w:lineRule="exact"/>
      <w:ind w:firstLine="480"/>
    </w:pPr>
    <w:rPr>
      <w:sz w:val="24"/>
      <w:lang w:val="zh-CN" w:eastAsia="zh-CN"/>
    </w:rPr>
  </w:style>
  <w:style w:type="paragraph" w:styleId="16">
    <w:name w:val="HTML Address"/>
    <w:basedOn w:val="1"/>
    <w:link w:val="128"/>
    <w:uiPriority w:val="0"/>
    <w:pPr>
      <w:widowControl/>
      <w:jc w:val="left"/>
    </w:pPr>
    <w:rPr>
      <w:rFonts w:ascii="宋体" w:hAnsi="宋体"/>
      <w:i/>
      <w:iCs/>
      <w:kern w:val="0"/>
      <w:sz w:val="24"/>
      <w:szCs w:val="24"/>
    </w:rPr>
  </w:style>
  <w:style w:type="paragraph" w:styleId="17">
    <w:name w:val="toc 3"/>
    <w:basedOn w:val="1"/>
    <w:next w:val="1"/>
    <w:semiHidden/>
    <w:qFormat/>
    <w:uiPriority w:val="0"/>
    <w:pPr>
      <w:ind w:left="840" w:leftChars="400"/>
    </w:pPr>
  </w:style>
  <w:style w:type="paragraph" w:styleId="18">
    <w:name w:val="Plain Text"/>
    <w:basedOn w:val="1"/>
    <w:link w:val="61"/>
    <w:qFormat/>
    <w:uiPriority w:val="0"/>
    <w:rPr>
      <w:rFonts w:ascii="宋体" w:hAnsi="Courier New"/>
      <w:szCs w:val="21"/>
    </w:rPr>
  </w:style>
  <w:style w:type="paragraph" w:styleId="19">
    <w:name w:val="Date"/>
    <w:basedOn w:val="1"/>
    <w:next w:val="1"/>
    <w:link w:val="57"/>
    <w:qFormat/>
    <w:uiPriority w:val="99"/>
    <w:rPr>
      <w:sz w:val="32"/>
    </w:rPr>
  </w:style>
  <w:style w:type="paragraph" w:styleId="20">
    <w:name w:val="Body Text Indent 2"/>
    <w:basedOn w:val="1"/>
    <w:link w:val="59"/>
    <w:uiPriority w:val="0"/>
    <w:pPr>
      <w:spacing w:line="460" w:lineRule="exact"/>
      <w:ind w:firstLine="471" w:firstLineChars="200"/>
    </w:pPr>
    <w:rPr>
      <w:rFonts w:ascii="宋体" w:hAnsi="宋体"/>
      <w:sz w:val="24"/>
    </w:rPr>
  </w:style>
  <w:style w:type="paragraph" w:styleId="21">
    <w:name w:val="Balloon Text"/>
    <w:basedOn w:val="1"/>
    <w:link w:val="64"/>
    <w:semiHidden/>
    <w:qFormat/>
    <w:uiPriority w:val="99"/>
    <w:rPr>
      <w:sz w:val="18"/>
      <w:szCs w:val="18"/>
      <w:lang w:val="zh-CN" w:eastAsia="zh-CN"/>
    </w:rPr>
  </w:style>
  <w:style w:type="paragraph" w:styleId="22">
    <w:name w:val="footer"/>
    <w:basedOn w:val="1"/>
    <w:link w:val="43"/>
    <w:unhideWhenUsed/>
    <w:uiPriority w:val="0"/>
    <w:pPr>
      <w:tabs>
        <w:tab w:val="center" w:pos="4153"/>
        <w:tab w:val="right" w:pos="8306"/>
      </w:tabs>
      <w:snapToGrid w:val="0"/>
      <w:jc w:val="left"/>
    </w:pPr>
    <w:rPr>
      <w:sz w:val="18"/>
      <w:szCs w:val="18"/>
    </w:rPr>
  </w:style>
  <w:style w:type="paragraph" w:styleId="23">
    <w:name w:val="header"/>
    <w:basedOn w:val="1"/>
    <w:link w:val="42"/>
    <w:unhideWhenUsed/>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0"/>
    <w:pPr>
      <w:tabs>
        <w:tab w:val="right" w:leader="dot" w:pos="8303"/>
      </w:tabs>
      <w:adjustRightInd w:val="0"/>
      <w:spacing w:line="360" w:lineRule="atLeast"/>
      <w:textAlignment w:val="baseline"/>
    </w:pPr>
    <w:rPr>
      <w:rFonts w:ascii="宋体"/>
      <w:b/>
      <w:kern w:val="0"/>
      <w:sz w:val="28"/>
    </w:rPr>
  </w:style>
  <w:style w:type="paragraph" w:styleId="25">
    <w:name w:val="Subtitle"/>
    <w:basedOn w:val="1"/>
    <w:next w:val="1"/>
    <w:link w:val="116"/>
    <w:qFormat/>
    <w:uiPriority w:val="0"/>
    <w:pPr>
      <w:spacing w:before="240" w:after="60" w:line="312" w:lineRule="auto"/>
      <w:jc w:val="center"/>
      <w:outlineLvl w:val="1"/>
    </w:pPr>
    <w:rPr>
      <w:rFonts w:ascii="Cambria" w:hAnsi="Cambria"/>
      <w:b/>
      <w:bCs/>
      <w:kern w:val="28"/>
      <w:sz w:val="32"/>
      <w:szCs w:val="32"/>
    </w:rPr>
  </w:style>
  <w:style w:type="paragraph" w:styleId="26">
    <w:name w:val="Body Text Indent 3"/>
    <w:basedOn w:val="1"/>
    <w:link w:val="60"/>
    <w:qFormat/>
    <w:uiPriority w:val="0"/>
    <w:pPr>
      <w:spacing w:line="460" w:lineRule="exact"/>
      <w:ind w:firstLine="540" w:firstLineChars="225"/>
    </w:pPr>
    <w:rPr>
      <w:rFonts w:ascii="宋体" w:hAnsi="宋体"/>
      <w:sz w:val="24"/>
    </w:rPr>
  </w:style>
  <w:style w:type="paragraph" w:styleId="27">
    <w:name w:val="toc 2"/>
    <w:basedOn w:val="1"/>
    <w:next w:val="1"/>
    <w:semiHidden/>
    <w:qFormat/>
    <w:uiPriority w:val="0"/>
    <w:pPr>
      <w:adjustRightInd w:val="0"/>
      <w:spacing w:line="360" w:lineRule="atLeast"/>
      <w:ind w:left="420"/>
      <w:jc w:val="left"/>
      <w:textAlignment w:val="baseline"/>
    </w:pPr>
    <w:rPr>
      <w:kern w:val="0"/>
      <w:sz w:val="24"/>
    </w:rPr>
  </w:style>
  <w:style w:type="paragraph" w:styleId="28">
    <w:name w:val="Body Text 2"/>
    <w:basedOn w:val="1"/>
    <w:link w:val="63"/>
    <w:qFormat/>
    <w:uiPriority w:val="0"/>
    <w:rPr>
      <w:color w:val="000000"/>
      <w:sz w:val="24"/>
      <w:szCs w:val="26"/>
    </w:rPr>
  </w:style>
  <w:style w:type="paragraph" w:styleId="29">
    <w:name w:val="HTML Preformatted"/>
    <w:basedOn w:val="1"/>
    <w:link w:val="78"/>
    <w:qFormat/>
    <w:uiPriority w:val="0"/>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420"/>
      </w:tabs>
      <w:ind w:left="0" w:firstLine="0"/>
      <w:jc w:val="left"/>
    </w:pPr>
    <w:rPr>
      <w:rFonts w:ascii="宋体" w:hAnsi="宋体" w:cs="宋体"/>
      <w:kern w:val="0"/>
      <w:sz w:val="24"/>
      <w:szCs w:val="24"/>
    </w:rPr>
  </w:style>
  <w:style w:type="paragraph" w:styleId="3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1">
    <w:name w:val="Title"/>
    <w:basedOn w:val="1"/>
    <w:next w:val="1"/>
    <w:link w:val="153"/>
    <w:qFormat/>
    <w:uiPriority w:val="0"/>
    <w:pPr>
      <w:spacing w:before="240" w:after="60"/>
      <w:jc w:val="center"/>
      <w:outlineLvl w:val="0"/>
    </w:pPr>
    <w:rPr>
      <w:rFonts w:ascii="Cambria" w:hAnsi="Cambria"/>
      <w:b/>
      <w:bCs/>
      <w:sz w:val="32"/>
      <w:szCs w:val="32"/>
    </w:rPr>
  </w:style>
  <w:style w:type="paragraph" w:styleId="32">
    <w:name w:val="annotation subject"/>
    <w:basedOn w:val="13"/>
    <w:next w:val="13"/>
    <w:link w:val="91"/>
    <w:semiHidden/>
    <w:qFormat/>
    <w:uiPriority w:val="99"/>
    <w:rPr>
      <w:b/>
      <w:bCs/>
      <w:sz w:val="24"/>
      <w:szCs w:val="20"/>
      <w:lang w:val="zh-CN" w:eastAsia="zh-CN"/>
    </w:rPr>
  </w:style>
  <w:style w:type="paragraph" w:styleId="33">
    <w:name w:val="Body Text First Indent 2"/>
    <w:basedOn w:val="15"/>
    <w:link w:val="99"/>
    <w:qFormat/>
    <w:uiPriority w:val="0"/>
    <w:pPr>
      <w:spacing w:after="120" w:line="240" w:lineRule="auto"/>
      <w:ind w:left="420" w:leftChars="200" w:firstLine="420" w:firstLineChars="200"/>
    </w:pPr>
    <w:rPr>
      <w:sz w:val="21"/>
    </w:rPr>
  </w:style>
  <w:style w:type="table" w:styleId="35">
    <w:name w:val="Table Grid"/>
    <w:basedOn w:val="34"/>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page number"/>
    <w:basedOn w:val="36"/>
    <w:qFormat/>
    <w:uiPriority w:val="0"/>
  </w:style>
  <w:style w:type="character" w:styleId="39">
    <w:name w:val="FollowedHyperlink"/>
    <w:qFormat/>
    <w:uiPriority w:val="0"/>
    <w:rPr>
      <w:color w:val="800080"/>
      <w:u w:val="single"/>
    </w:rPr>
  </w:style>
  <w:style w:type="character" w:styleId="40">
    <w:name w:val="Hyperlink"/>
    <w:qFormat/>
    <w:uiPriority w:val="99"/>
    <w:rPr>
      <w:color w:val="0000FF"/>
      <w:u w:val="single"/>
    </w:rPr>
  </w:style>
  <w:style w:type="character" w:styleId="41">
    <w:name w:val="annotation reference"/>
    <w:unhideWhenUsed/>
    <w:qFormat/>
    <w:uiPriority w:val="99"/>
    <w:rPr>
      <w:sz w:val="21"/>
      <w:szCs w:val="21"/>
    </w:rPr>
  </w:style>
  <w:style w:type="character" w:customStyle="1" w:styleId="42">
    <w:name w:val="页眉 Char"/>
    <w:basedOn w:val="36"/>
    <w:link w:val="23"/>
    <w:qFormat/>
    <w:uiPriority w:val="0"/>
    <w:rPr>
      <w:sz w:val="18"/>
      <w:szCs w:val="18"/>
    </w:rPr>
  </w:style>
  <w:style w:type="character" w:customStyle="1" w:styleId="43">
    <w:name w:val="页脚 Char"/>
    <w:basedOn w:val="36"/>
    <w:link w:val="22"/>
    <w:qFormat/>
    <w:uiPriority w:val="0"/>
    <w:rPr>
      <w:sz w:val="18"/>
      <w:szCs w:val="18"/>
    </w:rPr>
  </w:style>
  <w:style w:type="character" w:customStyle="1" w:styleId="44">
    <w:name w:val="标题 1 Char"/>
    <w:basedOn w:val="36"/>
    <w:qFormat/>
    <w:uiPriority w:val="99"/>
    <w:rPr>
      <w:rFonts w:ascii="Times New Roman" w:hAnsi="Times New Roman" w:eastAsia="宋体" w:cs="Times New Roman"/>
      <w:b/>
      <w:bCs/>
      <w:kern w:val="44"/>
      <w:sz w:val="44"/>
      <w:szCs w:val="44"/>
    </w:rPr>
  </w:style>
  <w:style w:type="character" w:customStyle="1" w:styleId="45">
    <w:name w:val="标题 2 Char"/>
    <w:basedOn w:val="36"/>
    <w:qFormat/>
    <w:uiPriority w:val="0"/>
    <w:rPr>
      <w:rFonts w:asciiTheme="majorHAnsi" w:hAnsiTheme="majorHAnsi" w:eastAsiaTheme="majorEastAsia" w:cstheme="majorBidi"/>
      <w:b/>
      <w:bCs/>
      <w:sz w:val="32"/>
      <w:szCs w:val="32"/>
    </w:rPr>
  </w:style>
  <w:style w:type="character" w:customStyle="1" w:styleId="46">
    <w:name w:val="标题 3 Char"/>
    <w:basedOn w:val="36"/>
    <w:link w:val="4"/>
    <w:qFormat/>
    <w:uiPriority w:val="0"/>
    <w:rPr>
      <w:rFonts w:ascii="Times New Roman" w:hAnsi="Times New Roman" w:eastAsia="宋体" w:cs="Times New Roman"/>
      <w:b/>
      <w:bCs/>
      <w:sz w:val="32"/>
      <w:szCs w:val="32"/>
    </w:rPr>
  </w:style>
  <w:style w:type="character" w:customStyle="1" w:styleId="47">
    <w:name w:val="标题 4 Char"/>
    <w:basedOn w:val="36"/>
    <w:link w:val="5"/>
    <w:qFormat/>
    <w:uiPriority w:val="0"/>
    <w:rPr>
      <w:rFonts w:ascii="Arial" w:hAnsi="Arial" w:eastAsia="宋体" w:cs="Times New Roman"/>
      <w:b/>
      <w:bCs/>
      <w:sz w:val="32"/>
      <w:szCs w:val="28"/>
    </w:rPr>
  </w:style>
  <w:style w:type="character" w:customStyle="1" w:styleId="48">
    <w:name w:val="标题 5 Char"/>
    <w:basedOn w:val="36"/>
    <w:link w:val="6"/>
    <w:qFormat/>
    <w:uiPriority w:val="0"/>
    <w:rPr>
      <w:rFonts w:ascii="仿宋_GB2312" w:hAnsi="仿宋_GB2312" w:eastAsia="仿宋_GB2312" w:cs="仿宋_GB2312"/>
      <w:sz w:val="28"/>
      <w:szCs w:val="28"/>
    </w:rPr>
  </w:style>
  <w:style w:type="character" w:customStyle="1" w:styleId="49">
    <w:name w:val="标题 6 Char"/>
    <w:basedOn w:val="36"/>
    <w:link w:val="7"/>
    <w:qFormat/>
    <w:uiPriority w:val="0"/>
    <w:rPr>
      <w:rFonts w:ascii="Times New Roman" w:hAnsi="Times New Roman" w:eastAsia="宋体" w:cs="Times New Roman"/>
      <w:b/>
      <w:bCs/>
      <w:szCs w:val="24"/>
      <w:lang w:val="zh-CN" w:eastAsia="zh-CN"/>
    </w:rPr>
  </w:style>
  <w:style w:type="character" w:customStyle="1" w:styleId="50">
    <w:name w:val="标题 7 Char"/>
    <w:basedOn w:val="36"/>
    <w:link w:val="8"/>
    <w:qFormat/>
    <w:uiPriority w:val="0"/>
    <w:rPr>
      <w:rFonts w:ascii="Times New Roman" w:hAnsi="Times New Roman" w:eastAsia="宋体" w:cs="Times New Roman"/>
      <w:b/>
      <w:bCs/>
      <w:szCs w:val="24"/>
      <w:lang w:val="zh-CN" w:eastAsia="zh-CN"/>
    </w:rPr>
  </w:style>
  <w:style w:type="character" w:customStyle="1" w:styleId="51">
    <w:name w:val="标题 8 Char"/>
    <w:basedOn w:val="36"/>
    <w:link w:val="9"/>
    <w:qFormat/>
    <w:uiPriority w:val="0"/>
    <w:rPr>
      <w:rFonts w:ascii="Times New Roman" w:hAnsi="Times New Roman" w:eastAsia="宋体" w:cs="Times New Roman"/>
      <w:b/>
      <w:szCs w:val="24"/>
      <w:lang w:val="zh-CN" w:eastAsia="zh-CN"/>
    </w:rPr>
  </w:style>
  <w:style w:type="character" w:customStyle="1" w:styleId="52">
    <w:name w:val="标题 9 Char"/>
    <w:basedOn w:val="36"/>
    <w:link w:val="10"/>
    <w:qFormat/>
    <w:uiPriority w:val="0"/>
    <w:rPr>
      <w:rFonts w:ascii="Times New Roman" w:hAnsi="Times New Roman" w:eastAsia="宋体" w:cs="Times New Roman"/>
      <w:b/>
      <w:szCs w:val="21"/>
      <w:lang w:val="zh-CN" w:eastAsia="zh-CN"/>
    </w:rPr>
  </w:style>
  <w:style w:type="character" w:customStyle="1" w:styleId="53">
    <w:name w:val="标题 1 Char1"/>
    <w:link w:val="2"/>
    <w:qFormat/>
    <w:uiPriority w:val="99"/>
    <w:rPr>
      <w:rFonts w:ascii="Times New Roman" w:hAnsi="Times New Roman" w:eastAsia="宋体" w:cs="Times New Roman"/>
      <w:sz w:val="28"/>
      <w:szCs w:val="20"/>
    </w:rPr>
  </w:style>
  <w:style w:type="paragraph" w:customStyle="1" w:styleId="54">
    <w:name w:val="Char1 Char Char Char"/>
    <w:basedOn w:val="1"/>
    <w:uiPriority w:val="0"/>
    <w:rPr>
      <w:rFonts w:ascii="Tahoma" w:hAnsi="Tahoma"/>
      <w:sz w:val="24"/>
    </w:rPr>
  </w:style>
  <w:style w:type="character" w:customStyle="1" w:styleId="55">
    <w:name w:val="标题 2 Char1"/>
    <w:link w:val="3"/>
    <w:uiPriority w:val="0"/>
    <w:rPr>
      <w:rFonts w:ascii="宋体" w:hAnsi="宋体" w:eastAsia="宋体" w:cs="Times New Roman"/>
      <w:sz w:val="28"/>
      <w:szCs w:val="24"/>
    </w:rPr>
  </w:style>
  <w:style w:type="character" w:customStyle="1" w:styleId="56">
    <w:name w:val="正文缩进 Char"/>
    <w:link w:val="11"/>
    <w:qFormat/>
    <w:uiPriority w:val="99"/>
    <w:rPr>
      <w:rFonts w:ascii="Times New Roman" w:hAnsi="Times New Roman" w:eastAsia="宋体" w:cs="Times New Roman"/>
      <w:szCs w:val="20"/>
    </w:rPr>
  </w:style>
  <w:style w:type="character" w:customStyle="1" w:styleId="57">
    <w:name w:val="日期 Char"/>
    <w:basedOn w:val="36"/>
    <w:link w:val="19"/>
    <w:qFormat/>
    <w:uiPriority w:val="99"/>
    <w:rPr>
      <w:rFonts w:ascii="Times New Roman" w:hAnsi="Times New Roman" w:eastAsia="宋体" w:cs="Times New Roman"/>
      <w:sz w:val="32"/>
      <w:szCs w:val="20"/>
    </w:rPr>
  </w:style>
  <w:style w:type="character" w:customStyle="1" w:styleId="58">
    <w:name w:val="正文文本缩进 Char"/>
    <w:basedOn w:val="36"/>
    <w:link w:val="15"/>
    <w:qFormat/>
    <w:uiPriority w:val="0"/>
    <w:rPr>
      <w:rFonts w:ascii="Times New Roman" w:hAnsi="Times New Roman" w:eastAsia="宋体" w:cs="Times New Roman"/>
      <w:sz w:val="24"/>
      <w:szCs w:val="20"/>
      <w:lang w:val="zh-CN" w:eastAsia="zh-CN"/>
    </w:rPr>
  </w:style>
  <w:style w:type="character" w:customStyle="1" w:styleId="59">
    <w:name w:val="正文文本缩进 2 Char"/>
    <w:basedOn w:val="36"/>
    <w:link w:val="20"/>
    <w:qFormat/>
    <w:uiPriority w:val="0"/>
    <w:rPr>
      <w:rFonts w:ascii="宋体" w:hAnsi="宋体" w:eastAsia="宋体" w:cs="Times New Roman"/>
      <w:sz w:val="24"/>
      <w:szCs w:val="20"/>
    </w:rPr>
  </w:style>
  <w:style w:type="character" w:customStyle="1" w:styleId="60">
    <w:name w:val="正文文本缩进 3 Char"/>
    <w:basedOn w:val="36"/>
    <w:link w:val="26"/>
    <w:qFormat/>
    <w:uiPriority w:val="0"/>
    <w:rPr>
      <w:rFonts w:ascii="宋体" w:hAnsi="宋体" w:eastAsia="宋体" w:cs="Times New Roman"/>
      <w:sz w:val="24"/>
      <w:szCs w:val="20"/>
    </w:rPr>
  </w:style>
  <w:style w:type="character" w:customStyle="1" w:styleId="61">
    <w:name w:val="纯文本 Char"/>
    <w:basedOn w:val="36"/>
    <w:link w:val="18"/>
    <w:qFormat/>
    <w:uiPriority w:val="0"/>
    <w:rPr>
      <w:rFonts w:ascii="宋体" w:hAnsi="Courier New" w:eastAsia="宋体" w:cs="Times New Roman"/>
      <w:szCs w:val="21"/>
    </w:rPr>
  </w:style>
  <w:style w:type="character" w:customStyle="1" w:styleId="62">
    <w:name w:val="正文文本 Char"/>
    <w:basedOn w:val="36"/>
    <w:link w:val="14"/>
    <w:qFormat/>
    <w:uiPriority w:val="0"/>
    <w:rPr>
      <w:rFonts w:ascii="宋体" w:hAnsi="宋体" w:eastAsia="宋体" w:cs="Times New Roman"/>
      <w:sz w:val="24"/>
      <w:szCs w:val="20"/>
      <w:lang w:val="zh-CN" w:eastAsia="zh-CN"/>
    </w:rPr>
  </w:style>
  <w:style w:type="character" w:customStyle="1" w:styleId="63">
    <w:name w:val="正文文本 2 Char"/>
    <w:basedOn w:val="36"/>
    <w:link w:val="28"/>
    <w:uiPriority w:val="0"/>
    <w:rPr>
      <w:rFonts w:eastAsia="宋体" w:cs="Times New Roman"/>
      <w:color w:val="000000"/>
      <w:sz w:val="24"/>
      <w:szCs w:val="26"/>
    </w:rPr>
  </w:style>
  <w:style w:type="character" w:customStyle="1" w:styleId="64">
    <w:name w:val="批注框文本 Char"/>
    <w:basedOn w:val="36"/>
    <w:link w:val="21"/>
    <w:semiHidden/>
    <w:qFormat/>
    <w:uiPriority w:val="99"/>
    <w:rPr>
      <w:rFonts w:ascii="Times New Roman" w:hAnsi="Times New Roman" w:eastAsia="宋体" w:cs="Times New Roman"/>
      <w:sz w:val="18"/>
      <w:szCs w:val="18"/>
      <w:lang w:val="zh-CN" w:eastAsia="zh-CN"/>
    </w:rPr>
  </w:style>
  <w:style w:type="paragraph" w:customStyle="1" w:styleId="65">
    <w:name w:val="HTML Top of Form"/>
    <w:basedOn w:val="1"/>
    <w:next w:val="1"/>
    <w:link w:val="66"/>
    <w:qFormat/>
    <w:uiPriority w:val="0"/>
    <w:pPr>
      <w:widowControl/>
      <w:pBdr>
        <w:bottom w:val="single" w:color="auto" w:sz="6" w:space="1"/>
      </w:pBdr>
      <w:jc w:val="center"/>
    </w:pPr>
    <w:rPr>
      <w:rFonts w:ascii="Arial" w:hAnsi="Arial" w:cs="Arial"/>
      <w:vanish/>
      <w:color w:val="000000"/>
      <w:kern w:val="0"/>
      <w:sz w:val="16"/>
      <w:szCs w:val="16"/>
    </w:rPr>
  </w:style>
  <w:style w:type="character" w:customStyle="1" w:styleId="66">
    <w:name w:val="z-窗体顶端 Char"/>
    <w:basedOn w:val="36"/>
    <w:link w:val="65"/>
    <w:qFormat/>
    <w:uiPriority w:val="0"/>
    <w:rPr>
      <w:rFonts w:ascii="Arial" w:hAnsi="Arial" w:eastAsia="宋体" w:cs="Arial"/>
      <w:vanish/>
      <w:color w:val="000000"/>
      <w:kern w:val="0"/>
      <w:sz w:val="16"/>
      <w:szCs w:val="16"/>
    </w:rPr>
  </w:style>
  <w:style w:type="paragraph" w:customStyle="1" w:styleId="67">
    <w:name w:val="HTML Bottom of Form"/>
    <w:basedOn w:val="1"/>
    <w:next w:val="1"/>
    <w:link w:val="68"/>
    <w:uiPriority w:val="0"/>
    <w:pPr>
      <w:widowControl/>
      <w:pBdr>
        <w:top w:val="single" w:color="auto" w:sz="6" w:space="1"/>
      </w:pBdr>
      <w:jc w:val="center"/>
    </w:pPr>
    <w:rPr>
      <w:rFonts w:ascii="Arial" w:hAnsi="Arial" w:cs="Arial"/>
      <w:vanish/>
      <w:color w:val="000000"/>
      <w:kern w:val="0"/>
      <w:sz w:val="16"/>
      <w:szCs w:val="16"/>
    </w:rPr>
  </w:style>
  <w:style w:type="character" w:customStyle="1" w:styleId="68">
    <w:name w:val="z-窗体底端 Char"/>
    <w:basedOn w:val="36"/>
    <w:link w:val="67"/>
    <w:qFormat/>
    <w:uiPriority w:val="0"/>
    <w:rPr>
      <w:rFonts w:ascii="Arial" w:hAnsi="Arial" w:eastAsia="宋体" w:cs="Arial"/>
      <w:vanish/>
      <w:color w:val="000000"/>
      <w:kern w:val="0"/>
      <w:sz w:val="16"/>
      <w:szCs w:val="16"/>
    </w:rPr>
  </w:style>
  <w:style w:type="paragraph" w:customStyle="1" w:styleId="69">
    <w:name w:val="Default"/>
    <w:link w:val="158"/>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70">
    <w:name w:val="label1"/>
    <w:uiPriority w:val="0"/>
    <w:rPr>
      <w:sz w:val="26"/>
      <w:szCs w:val="26"/>
    </w:rPr>
  </w:style>
  <w:style w:type="paragraph" w:customStyle="1" w:styleId="71">
    <w:name w:val=".."/>
    <w:basedOn w:val="69"/>
    <w:next w:val="69"/>
    <w:qFormat/>
    <w:uiPriority w:val="0"/>
    <w:rPr>
      <w:color w:val="auto"/>
    </w:rPr>
  </w:style>
  <w:style w:type="paragraph" w:customStyle="1" w:styleId="7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73">
    <w:name w:val="Contr_List"/>
    <w:basedOn w:val="1"/>
    <w:qFormat/>
    <w:uiPriority w:val="0"/>
    <w:pPr>
      <w:widowControl/>
      <w:tabs>
        <w:tab w:val="left" w:pos="900"/>
      </w:tabs>
      <w:spacing w:after="240"/>
      <w:ind w:left="900" w:hanging="720"/>
      <w:jc w:val="left"/>
    </w:pPr>
    <w:rPr>
      <w:rFonts w:ascii="Arial" w:hAnsi="Arial"/>
      <w:kern w:val="0"/>
      <w:sz w:val="24"/>
      <w:szCs w:val="24"/>
      <w:lang w:val="en-GB" w:eastAsia="en-US"/>
    </w:rPr>
  </w:style>
  <w:style w:type="paragraph" w:customStyle="1" w:styleId="74">
    <w:name w:val="文档正文"/>
    <w:basedOn w:val="1"/>
    <w:qFormat/>
    <w:uiPriority w:val="0"/>
    <w:pPr>
      <w:spacing w:before="120" w:after="120" w:line="360" w:lineRule="auto"/>
    </w:pPr>
    <w:rPr>
      <w:rFonts w:ascii="宋体" w:hAnsi="Arial" w:eastAsia="幼圆"/>
      <w:sz w:val="24"/>
    </w:rPr>
  </w:style>
  <w:style w:type="character" w:customStyle="1" w:styleId="75">
    <w:name w:val="style631"/>
    <w:qFormat/>
    <w:uiPriority w:val="0"/>
    <w:rPr>
      <w:rFonts w:hint="default" w:ascii="Arial" w:hAnsi="Arial" w:cs="Arial"/>
      <w:b/>
      <w:bCs/>
      <w:color w:val="FF6600"/>
      <w:sz w:val="28"/>
      <w:szCs w:val="28"/>
      <w:u w:val="none"/>
    </w:rPr>
  </w:style>
  <w:style w:type="paragraph" w:customStyle="1" w:styleId="76">
    <w:name w:val="Char"/>
    <w:basedOn w:val="1"/>
    <w:qFormat/>
    <w:uiPriority w:val="0"/>
    <w:pPr>
      <w:tabs>
        <w:tab w:val="left" w:pos="360"/>
      </w:tabs>
    </w:pPr>
    <w:rPr>
      <w:sz w:val="24"/>
      <w:szCs w:val="24"/>
    </w:rPr>
  </w:style>
  <w:style w:type="paragraph" w:customStyle="1" w:styleId="77">
    <w:name w:val="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78">
    <w:name w:val="HTML 预设格式 Char"/>
    <w:basedOn w:val="36"/>
    <w:link w:val="29"/>
    <w:qFormat/>
    <w:uiPriority w:val="0"/>
    <w:rPr>
      <w:rFonts w:ascii="宋体" w:hAnsi="宋体" w:eastAsia="宋体" w:cs="宋体"/>
      <w:kern w:val="0"/>
      <w:sz w:val="24"/>
      <w:szCs w:val="24"/>
    </w:rPr>
  </w:style>
  <w:style w:type="paragraph" w:customStyle="1" w:styleId="79">
    <w:name w:val="Char Char Char Char1 Char Char Char Char"/>
    <w:basedOn w:val="1"/>
    <w:qFormat/>
    <w:uiPriority w:val="0"/>
    <w:pPr>
      <w:widowControl/>
      <w:numPr>
        <w:ilvl w:val="0"/>
        <w:numId w:val="2"/>
      </w:numPr>
      <w:tabs>
        <w:tab w:val="clear" w:pos="900"/>
      </w:tabs>
      <w:spacing w:after="160" w:line="240" w:lineRule="exact"/>
      <w:ind w:left="0" w:firstLine="0"/>
      <w:jc w:val="left"/>
    </w:pPr>
    <w:rPr>
      <w:rFonts w:ascii="Verdana" w:hAnsi="Verdana" w:eastAsia="仿宋_GB2312"/>
      <w:kern w:val="0"/>
      <w:sz w:val="24"/>
      <w:lang w:eastAsia="en-US"/>
    </w:rPr>
  </w:style>
  <w:style w:type="paragraph" w:customStyle="1" w:styleId="8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1">
    <w:name w:val="Char2"/>
    <w:basedOn w:val="1"/>
    <w:qFormat/>
    <w:uiPriority w:val="0"/>
    <w:pPr>
      <w:tabs>
        <w:tab w:val="left" w:pos="360"/>
      </w:tabs>
    </w:pPr>
    <w:rPr>
      <w:sz w:val="24"/>
      <w:szCs w:val="24"/>
    </w:rPr>
  </w:style>
  <w:style w:type="paragraph" w:customStyle="1" w:styleId="82">
    <w:name w:val="段 Char"/>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83">
    <w:name w:val="Heading Bar"/>
    <w:basedOn w:val="3"/>
    <w:next w:val="4"/>
    <w:link w:val="84"/>
    <w:qFormat/>
    <w:uiPriority w:val="0"/>
    <w:pPr>
      <w:keepLines/>
      <w:widowControl/>
      <w:overflowPunct w:val="0"/>
      <w:autoSpaceDE w:val="0"/>
      <w:autoSpaceDN w:val="0"/>
      <w:adjustRightInd w:val="0"/>
      <w:spacing w:before="120" w:after="120"/>
      <w:ind w:left="0" w:leftChars="0" w:firstLine="0"/>
      <w:textAlignment w:val="baseline"/>
    </w:pPr>
    <w:rPr>
      <w:rFonts w:hAnsi="Book Antiqua"/>
      <w:b/>
      <w:bCs/>
      <w:spacing w:val="12"/>
      <w:kern w:val="0"/>
      <w:sz w:val="24"/>
      <w:szCs w:val="20"/>
    </w:rPr>
  </w:style>
  <w:style w:type="character" w:customStyle="1" w:styleId="84">
    <w:name w:val="Heading Bar Char"/>
    <w:link w:val="83"/>
    <w:qFormat/>
    <w:uiPriority w:val="0"/>
    <w:rPr>
      <w:rFonts w:ascii="宋体" w:hAnsi="Book Antiqua" w:eastAsia="宋体" w:cs="Times New Roman"/>
      <w:b/>
      <w:bCs/>
      <w:spacing w:val="12"/>
      <w:kern w:val="0"/>
      <w:sz w:val="24"/>
      <w:szCs w:val="20"/>
    </w:rPr>
  </w:style>
  <w:style w:type="character" w:customStyle="1" w:styleId="85">
    <w:name w:val="Highlighted Variable"/>
    <w:qFormat/>
    <w:uiPriority w:val="0"/>
    <w:rPr>
      <w:color w:val="0000FF"/>
    </w:rPr>
  </w:style>
  <w:style w:type="paragraph" w:customStyle="1" w:styleId="86">
    <w:name w:val="小标题"/>
    <w:basedOn w:val="1"/>
    <w:next w:val="11"/>
    <w:qFormat/>
    <w:uiPriority w:val="0"/>
    <w:pPr>
      <w:tabs>
        <w:tab w:val="left" w:pos="420"/>
      </w:tabs>
      <w:spacing w:before="25" w:beforeLines="25" w:after="25" w:afterLines="25"/>
      <w:ind w:left="420" w:hanging="420"/>
    </w:pPr>
    <w:rPr>
      <w:rFonts w:ascii="Arial" w:hAnsi="Arial" w:eastAsia="黑体"/>
      <w:b/>
      <w:sz w:val="28"/>
      <w:szCs w:val="24"/>
    </w:rPr>
  </w:style>
  <w:style w:type="paragraph" w:customStyle="1" w:styleId="87">
    <w:name w:val="项目排列"/>
    <w:basedOn w:val="1"/>
    <w:qFormat/>
    <w:uiPriority w:val="0"/>
    <w:pPr>
      <w:tabs>
        <w:tab w:val="left" w:pos="900"/>
      </w:tabs>
      <w:spacing w:before="50" w:beforeLines="50" w:after="50" w:afterLines="50" w:line="300" w:lineRule="auto"/>
      <w:ind w:left="900" w:hanging="420"/>
    </w:pPr>
    <w:rPr>
      <w:rFonts w:eastAsia="楷体_GB2312"/>
      <w:sz w:val="30"/>
      <w:szCs w:val="24"/>
    </w:rPr>
  </w:style>
  <w:style w:type="character" w:customStyle="1" w:styleId="88">
    <w:name w:val="批注文字 Char"/>
    <w:link w:val="13"/>
    <w:semiHidden/>
    <w:qFormat/>
    <w:uiPriority w:val="0"/>
    <w:rPr>
      <w:rFonts w:eastAsia="宋体"/>
      <w:szCs w:val="24"/>
    </w:rPr>
  </w:style>
  <w:style w:type="character" w:customStyle="1" w:styleId="89">
    <w:name w:val="批注文字 Char1"/>
    <w:basedOn w:val="36"/>
    <w:semiHidden/>
    <w:qFormat/>
    <w:uiPriority w:val="99"/>
    <w:rPr>
      <w:rFonts w:ascii="Times New Roman" w:hAnsi="Times New Roman" w:eastAsia="宋体" w:cs="Times New Roman"/>
      <w:szCs w:val="20"/>
    </w:rPr>
  </w:style>
  <w:style w:type="paragraph" w:customStyle="1" w:styleId="90">
    <w:name w:val="样式2"/>
    <w:basedOn w:val="4"/>
    <w:qFormat/>
    <w:uiPriority w:val="0"/>
    <w:pPr>
      <w:numPr>
        <w:ilvl w:val="1"/>
        <w:numId w:val="3"/>
      </w:numPr>
      <w:spacing w:line="360" w:lineRule="auto"/>
      <w:jc w:val="left"/>
    </w:pPr>
  </w:style>
  <w:style w:type="character" w:customStyle="1" w:styleId="91">
    <w:name w:val="批注主题 Char"/>
    <w:basedOn w:val="89"/>
    <w:link w:val="32"/>
    <w:semiHidden/>
    <w:qFormat/>
    <w:uiPriority w:val="99"/>
    <w:rPr>
      <w:rFonts w:ascii="Times New Roman" w:hAnsi="Times New Roman" w:eastAsia="宋体" w:cs="Times New Roman"/>
      <w:b/>
      <w:bCs/>
      <w:sz w:val="24"/>
      <w:szCs w:val="20"/>
      <w:lang w:val="zh-CN" w:eastAsia="zh-CN"/>
    </w:rPr>
  </w:style>
  <w:style w:type="paragraph" w:customStyle="1" w:styleId="92">
    <w:name w:val="InfoBlue"/>
    <w:basedOn w:val="1"/>
    <w:next w:val="14"/>
    <w:qFormat/>
    <w:uiPriority w:val="0"/>
    <w:pPr>
      <w:numPr>
        <w:ilvl w:val="0"/>
        <w:numId w:val="4"/>
      </w:numPr>
      <w:spacing w:line="360" w:lineRule="exact"/>
      <w:jc w:val="left"/>
    </w:pPr>
    <w:rPr>
      <w:rFonts w:ascii="宋体"/>
      <w:snapToGrid w:val="0"/>
      <w:color w:val="000000"/>
      <w:kern w:val="0"/>
      <w:sz w:val="20"/>
    </w:rPr>
  </w:style>
  <w:style w:type="paragraph" w:styleId="93">
    <w:name w:val="List Paragraph"/>
    <w:basedOn w:val="1"/>
    <w:link w:val="121"/>
    <w:qFormat/>
    <w:uiPriority w:val="34"/>
    <w:pPr>
      <w:ind w:firstLine="420" w:firstLineChars="200"/>
    </w:pPr>
    <w:rPr>
      <w:rFonts w:ascii="Calibri" w:hAnsi="Calibri"/>
      <w:szCs w:val="22"/>
    </w:rPr>
  </w:style>
  <w:style w:type="paragraph" w:customStyle="1" w:styleId="94">
    <w:name w:val="正文文本缩进 2 Char Char"/>
    <w:basedOn w:val="1"/>
    <w:qFormat/>
    <w:uiPriority w:val="0"/>
    <w:pPr>
      <w:widowControl/>
      <w:spacing w:line="360" w:lineRule="auto"/>
      <w:ind w:firstLine="480" w:firstLineChars="200"/>
    </w:pPr>
    <w:rPr>
      <w:rFonts w:hint="eastAsia" w:ascii="宋体" w:hAnsi="宋体"/>
      <w:color w:val="000000"/>
      <w:kern w:val="0"/>
      <w:sz w:val="24"/>
    </w:rPr>
  </w:style>
  <w:style w:type="paragraph" w:customStyle="1" w:styleId="95">
    <w:name w:val="样式 标题 1featureheadA章H1PIM 1Heading 0Arial 14 FettArial 1..."/>
    <w:basedOn w:val="2"/>
    <w:qFormat/>
    <w:uiPriority w:val="0"/>
    <w:pPr>
      <w:keepNext w:val="0"/>
      <w:numPr>
        <w:ilvl w:val="0"/>
        <w:numId w:val="5"/>
      </w:numPr>
      <w:tabs>
        <w:tab w:val="left" w:pos="432"/>
      </w:tabs>
      <w:spacing w:before="312" w:after="312" w:line="360" w:lineRule="auto"/>
    </w:pPr>
    <w:rPr>
      <w:rFonts w:eastAsia="黑体"/>
      <w:b/>
      <w:color w:val="000000"/>
      <w:kern w:val="44"/>
      <w:sz w:val="32"/>
    </w:rPr>
  </w:style>
  <w:style w:type="paragraph" w:customStyle="1" w:styleId="96">
    <w:name w:val="1级描述"/>
    <w:basedOn w:val="1"/>
    <w:qFormat/>
    <w:uiPriority w:val="0"/>
    <w:pPr>
      <w:ind w:firstLine="420"/>
    </w:pPr>
    <w:rPr>
      <w:szCs w:val="24"/>
    </w:rPr>
  </w:style>
  <w:style w:type="paragraph" w:customStyle="1" w:styleId="97">
    <w:name w:val="Char Char Char"/>
    <w:basedOn w:val="1"/>
    <w:qFormat/>
    <w:uiPriority w:val="0"/>
    <w:rPr>
      <w:szCs w:val="24"/>
    </w:rPr>
  </w:style>
  <w:style w:type="paragraph" w:customStyle="1" w:styleId="98">
    <w:name w:val="Char Char Char Char Char Char"/>
    <w:basedOn w:val="1"/>
    <w:qFormat/>
    <w:uiPriority w:val="0"/>
    <w:pPr>
      <w:adjustRightInd w:val="0"/>
      <w:spacing w:line="360" w:lineRule="auto"/>
    </w:pPr>
    <w:rPr>
      <w:kern w:val="0"/>
      <w:sz w:val="24"/>
    </w:rPr>
  </w:style>
  <w:style w:type="character" w:customStyle="1" w:styleId="99">
    <w:name w:val="正文首行缩进 2 Char"/>
    <w:basedOn w:val="58"/>
    <w:link w:val="33"/>
    <w:qFormat/>
    <w:uiPriority w:val="0"/>
    <w:rPr>
      <w:rFonts w:ascii="Times New Roman" w:hAnsi="Times New Roman" w:eastAsia="宋体" w:cs="Times New Roman"/>
      <w:sz w:val="24"/>
      <w:szCs w:val="20"/>
      <w:lang w:val="zh-CN" w:eastAsia="zh-CN"/>
    </w:rPr>
  </w:style>
  <w:style w:type="paragraph" w:customStyle="1" w:styleId="100">
    <w:name w:val="Char1 Char Char Char Char Char"/>
    <w:basedOn w:val="1"/>
    <w:qFormat/>
    <w:uiPriority w:val="0"/>
    <w:rPr>
      <w:rFonts w:ascii="Tahoma" w:hAnsi="Tahoma"/>
      <w:sz w:val="24"/>
    </w:rPr>
  </w:style>
  <w:style w:type="paragraph" w:customStyle="1" w:styleId="10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102">
    <w:name w:val="普通文字 Char Char"/>
    <w:qFormat/>
    <w:uiPriority w:val="0"/>
    <w:rPr>
      <w:rFonts w:ascii="宋体" w:hAnsi="Courier New" w:eastAsia="宋体"/>
      <w:kern w:val="2"/>
      <w:sz w:val="21"/>
      <w:lang w:val="en-US" w:eastAsia="zh-CN" w:bidi="ar-SA"/>
    </w:rPr>
  </w:style>
  <w:style w:type="paragraph" w:customStyle="1" w:styleId="103">
    <w:name w:val="style6"/>
    <w:basedOn w:val="1"/>
    <w:qFormat/>
    <w:uiPriority w:val="0"/>
    <w:pPr>
      <w:widowControl/>
      <w:spacing w:before="100" w:beforeAutospacing="1" w:after="100" w:afterAutospacing="1"/>
      <w:jc w:val="left"/>
    </w:pPr>
    <w:rPr>
      <w:rFonts w:ascii="宋体" w:hAnsi="宋体" w:cs="宋体"/>
      <w:color w:val="000000"/>
      <w:kern w:val="0"/>
      <w:sz w:val="24"/>
      <w:szCs w:val="24"/>
    </w:rPr>
  </w:style>
  <w:style w:type="character" w:customStyle="1" w:styleId="104">
    <w:name w:val="style51"/>
    <w:qFormat/>
    <w:uiPriority w:val="0"/>
    <w:rPr>
      <w:color w:val="000000"/>
    </w:rPr>
  </w:style>
  <w:style w:type="paragraph" w:customStyle="1" w:styleId="105">
    <w:name w:val="锐丰正文 Char"/>
    <w:basedOn w:val="1"/>
    <w:link w:val="106"/>
    <w:qFormat/>
    <w:uiPriority w:val="0"/>
    <w:pPr>
      <w:spacing w:line="520" w:lineRule="exact"/>
      <w:ind w:firstLine="200" w:firstLineChars="200"/>
    </w:pPr>
    <w:rPr>
      <w:rFonts w:eastAsia="楷体_GB2312"/>
      <w:sz w:val="28"/>
      <w:szCs w:val="24"/>
    </w:rPr>
  </w:style>
  <w:style w:type="character" w:customStyle="1" w:styleId="106">
    <w:name w:val="锐丰正文 Char Char"/>
    <w:link w:val="105"/>
    <w:qFormat/>
    <w:uiPriority w:val="0"/>
    <w:rPr>
      <w:rFonts w:ascii="Times New Roman" w:hAnsi="Times New Roman" w:eastAsia="楷体_GB2312" w:cs="Times New Roman"/>
      <w:sz w:val="28"/>
      <w:szCs w:val="24"/>
    </w:rPr>
  </w:style>
  <w:style w:type="paragraph" w:customStyle="1" w:styleId="107">
    <w:name w:val="正文（首行缩进2字符）"/>
    <w:basedOn w:val="1"/>
    <w:link w:val="108"/>
    <w:qFormat/>
    <w:uiPriority w:val="0"/>
    <w:pPr>
      <w:spacing w:line="360" w:lineRule="auto"/>
      <w:ind w:firstLine="461" w:firstLineChars="192"/>
    </w:pPr>
    <w:rPr>
      <w:rFonts w:ascii="Arial" w:hAnsi="Arial"/>
      <w:sz w:val="24"/>
      <w:szCs w:val="28"/>
    </w:rPr>
  </w:style>
  <w:style w:type="character" w:customStyle="1" w:styleId="108">
    <w:name w:val="正文（首行缩进2字符） Char"/>
    <w:link w:val="107"/>
    <w:qFormat/>
    <w:uiPriority w:val="0"/>
    <w:rPr>
      <w:rFonts w:ascii="Arial" w:hAnsi="Arial" w:eastAsia="宋体" w:cs="Times New Roman"/>
      <w:sz w:val="24"/>
      <w:szCs w:val="28"/>
    </w:rPr>
  </w:style>
  <w:style w:type="character" w:customStyle="1" w:styleId="109">
    <w:name w:val="Char Char Char Char Char Char Char Char"/>
    <w:link w:val="110"/>
    <w:qFormat/>
    <w:locked/>
    <w:uiPriority w:val="0"/>
    <w:rPr>
      <w:rFonts w:ascii="Tahoma" w:hAnsi="Tahoma" w:eastAsia="宋体" w:cs="Tahoma"/>
      <w:sz w:val="24"/>
    </w:rPr>
  </w:style>
  <w:style w:type="paragraph" w:customStyle="1" w:styleId="110">
    <w:name w:val="Char Char Char Char Char Char Char"/>
    <w:basedOn w:val="1"/>
    <w:link w:val="109"/>
    <w:qFormat/>
    <w:uiPriority w:val="0"/>
    <w:rPr>
      <w:rFonts w:ascii="Tahoma" w:hAnsi="Tahoma" w:cs="Tahoma"/>
      <w:sz w:val="24"/>
      <w:szCs w:val="22"/>
    </w:rPr>
  </w:style>
  <w:style w:type="character" w:customStyle="1" w:styleId="111">
    <w:name w:val="Normal Indent Char Char"/>
    <w:qFormat/>
    <w:uiPriority w:val="0"/>
    <w:rPr>
      <w:rFonts w:eastAsia="宋体"/>
      <w:kern w:val="2"/>
      <w:sz w:val="21"/>
      <w:szCs w:val="24"/>
      <w:lang w:val="en-US" w:eastAsia="zh-CN" w:bidi="ar-SA"/>
    </w:rPr>
  </w:style>
  <w:style w:type="paragraph" w:customStyle="1" w:styleId="112">
    <w:name w:val="p0"/>
    <w:basedOn w:val="1"/>
    <w:qFormat/>
    <w:uiPriority w:val="0"/>
    <w:pPr>
      <w:widowControl/>
    </w:pPr>
    <w:rPr>
      <w:kern w:val="0"/>
      <w:szCs w:val="21"/>
    </w:rPr>
  </w:style>
  <w:style w:type="paragraph" w:customStyle="1" w:styleId="113">
    <w:name w:val="文字"/>
    <w:basedOn w:val="1"/>
    <w:qFormat/>
    <w:uiPriority w:val="0"/>
    <w:pPr>
      <w:tabs>
        <w:tab w:val="left" w:pos="8520"/>
      </w:tabs>
      <w:spacing w:line="312" w:lineRule="auto"/>
      <w:ind w:right="-210" w:firstLine="556"/>
    </w:pPr>
    <w:rPr>
      <w:rFonts w:ascii="宋体"/>
      <w:sz w:val="28"/>
    </w:rPr>
  </w:style>
  <w:style w:type="character" w:customStyle="1" w:styleId="114">
    <w:name w:val="文档结构图 Char"/>
    <w:basedOn w:val="36"/>
    <w:link w:val="12"/>
    <w:qFormat/>
    <w:uiPriority w:val="0"/>
    <w:rPr>
      <w:rFonts w:ascii="Times New Roman" w:hAnsi="Times New Roman" w:eastAsia="宋体" w:cs="Times New Roman"/>
      <w:szCs w:val="24"/>
      <w:shd w:val="clear" w:color="auto" w:fill="000080"/>
      <w:lang w:val="zh-CN" w:eastAsia="zh-CN"/>
    </w:rPr>
  </w:style>
  <w:style w:type="paragraph" w:customStyle="1" w:styleId="115">
    <w:name w:val="列出段落1"/>
    <w:basedOn w:val="1"/>
    <w:qFormat/>
    <w:uiPriority w:val="0"/>
    <w:pPr>
      <w:ind w:firstLine="420" w:firstLineChars="200"/>
    </w:pPr>
    <w:rPr>
      <w:rFonts w:ascii="Calibri" w:hAnsi="Calibri"/>
      <w:szCs w:val="22"/>
    </w:rPr>
  </w:style>
  <w:style w:type="character" w:customStyle="1" w:styleId="116">
    <w:name w:val="副标题 Char"/>
    <w:basedOn w:val="36"/>
    <w:link w:val="25"/>
    <w:qFormat/>
    <w:uiPriority w:val="0"/>
    <w:rPr>
      <w:rFonts w:ascii="Cambria" w:hAnsi="Cambria" w:eastAsia="宋体" w:cs="Times New Roman"/>
      <w:b/>
      <w:bCs/>
      <w:kern w:val="28"/>
      <w:sz w:val="32"/>
      <w:szCs w:val="32"/>
    </w:rPr>
  </w:style>
  <w:style w:type="paragraph" w:customStyle="1" w:styleId="117">
    <w:name w:val="Char1"/>
    <w:basedOn w:val="1"/>
    <w:qFormat/>
    <w:uiPriority w:val="0"/>
    <w:pPr>
      <w:tabs>
        <w:tab w:val="left" w:pos="360"/>
      </w:tabs>
    </w:pPr>
    <w:rPr>
      <w:sz w:val="24"/>
      <w:szCs w:val="24"/>
    </w:rPr>
  </w:style>
  <w:style w:type="paragraph" w:customStyle="1" w:styleId="1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List Paragraph1"/>
    <w:basedOn w:val="1"/>
    <w:qFormat/>
    <w:uiPriority w:val="99"/>
    <w:pPr>
      <w:ind w:firstLine="420" w:firstLineChars="200"/>
    </w:pPr>
    <w:rPr>
      <w:rFonts w:ascii="Calibri" w:hAnsi="Calibri" w:cs="Calibri"/>
      <w:szCs w:val="21"/>
    </w:rPr>
  </w:style>
  <w:style w:type="character" w:customStyle="1" w:styleId="121">
    <w:name w:val="列出段落 Char"/>
    <w:link w:val="93"/>
    <w:qFormat/>
    <w:uiPriority w:val="34"/>
    <w:rPr>
      <w:rFonts w:ascii="Calibri" w:hAnsi="Calibri" w:eastAsia="宋体" w:cs="Times New Roman"/>
    </w:rPr>
  </w:style>
  <w:style w:type="paragraph" w:styleId="12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apple-converted-space"/>
    <w:qFormat/>
    <w:uiPriority w:val="0"/>
  </w:style>
  <w:style w:type="character" w:customStyle="1" w:styleId="124">
    <w:name w:val="short_text1"/>
    <w:qFormat/>
    <w:uiPriority w:val="0"/>
    <w:rPr>
      <w:sz w:val="26"/>
      <w:szCs w:val="26"/>
    </w:rPr>
  </w:style>
  <w:style w:type="paragraph" w:customStyle="1" w:styleId="125">
    <w:name w:val="列出段落2"/>
    <w:basedOn w:val="1"/>
    <w:qFormat/>
    <w:uiPriority w:val="0"/>
    <w:pPr>
      <w:ind w:firstLine="420" w:firstLineChars="200"/>
    </w:pPr>
    <w:rPr>
      <w:rFonts w:ascii="Calibri" w:hAnsi="Calibri"/>
      <w:szCs w:val="22"/>
    </w:rPr>
  </w:style>
  <w:style w:type="paragraph" w:customStyle="1" w:styleId="126">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127">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128">
    <w:name w:val="HTML 地址 Char"/>
    <w:basedOn w:val="36"/>
    <w:link w:val="16"/>
    <w:qFormat/>
    <w:uiPriority w:val="0"/>
    <w:rPr>
      <w:rFonts w:ascii="宋体" w:hAnsi="宋体" w:eastAsia="宋体" w:cs="Times New Roman"/>
      <w:i/>
      <w:iCs/>
      <w:kern w:val="0"/>
      <w:sz w:val="24"/>
      <w:szCs w:val="24"/>
    </w:rPr>
  </w:style>
  <w:style w:type="paragraph" w:customStyle="1" w:styleId="129">
    <w:name w:val="附件正文"/>
    <w:basedOn w:val="1"/>
    <w:qFormat/>
    <w:uiPriority w:val="0"/>
    <w:pPr>
      <w:snapToGrid w:val="0"/>
      <w:spacing w:line="480" w:lineRule="exact"/>
    </w:pPr>
    <w:rPr>
      <w:color w:val="000000"/>
      <w:kern w:val="0"/>
      <w:sz w:val="24"/>
      <w:szCs w:val="24"/>
    </w:rPr>
  </w:style>
  <w:style w:type="paragraph" w:customStyle="1" w:styleId="130">
    <w:name w:val="msolistparagraph"/>
    <w:basedOn w:val="1"/>
    <w:qFormat/>
    <w:uiPriority w:val="0"/>
    <w:pPr>
      <w:ind w:firstLine="420" w:firstLineChars="200"/>
    </w:pPr>
    <w:rPr>
      <w:rFonts w:ascii="Calibri" w:hAnsi="Calibri"/>
      <w:szCs w:val="22"/>
    </w:rPr>
  </w:style>
  <w:style w:type="character" w:customStyle="1" w:styleId="131">
    <w:name w:val="font41"/>
    <w:qFormat/>
    <w:uiPriority w:val="0"/>
    <w:rPr>
      <w:rFonts w:hint="eastAsia" w:ascii="宋体" w:hAnsi="宋体" w:eastAsia="宋体" w:cs="宋体"/>
      <w:color w:val="000000"/>
      <w:sz w:val="20"/>
      <w:szCs w:val="20"/>
      <w:u w:val="none"/>
    </w:rPr>
  </w:style>
  <w:style w:type="character" w:customStyle="1" w:styleId="132">
    <w:name w:val="font11"/>
    <w:qFormat/>
    <w:uiPriority w:val="0"/>
    <w:rPr>
      <w:rFonts w:hint="eastAsia" w:ascii="宋体" w:hAnsi="宋体" w:eastAsia="宋体" w:cs="宋体"/>
      <w:color w:val="000000"/>
      <w:sz w:val="21"/>
      <w:szCs w:val="21"/>
      <w:u w:val="none"/>
    </w:rPr>
  </w:style>
  <w:style w:type="paragraph" w:customStyle="1" w:styleId="133">
    <w:name w:val="列出段落3"/>
    <w:basedOn w:val="1"/>
    <w:qFormat/>
    <w:uiPriority w:val="0"/>
    <w:pPr>
      <w:ind w:firstLine="420" w:firstLineChars="200"/>
    </w:pPr>
    <w:rPr>
      <w:szCs w:val="24"/>
    </w:rPr>
  </w:style>
  <w:style w:type="paragraph" w:customStyle="1" w:styleId="134">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35">
    <w:name w:val="UP标题3"/>
    <w:basedOn w:val="1"/>
    <w:link w:val="136"/>
    <w:qFormat/>
    <w:uiPriority w:val="99"/>
    <w:pPr>
      <w:spacing w:line="360" w:lineRule="auto"/>
      <w:ind w:firstLine="149" w:firstLineChars="149"/>
    </w:pPr>
    <w:rPr>
      <w:rFonts w:ascii="黑体" w:eastAsia="黑体"/>
      <w:kern w:val="0"/>
      <w:sz w:val="28"/>
    </w:rPr>
  </w:style>
  <w:style w:type="character" w:customStyle="1" w:styleId="136">
    <w:name w:val="UP标题3 Char Char"/>
    <w:link w:val="135"/>
    <w:qFormat/>
    <w:locked/>
    <w:uiPriority w:val="99"/>
    <w:rPr>
      <w:rFonts w:ascii="黑体" w:hAnsi="Times New Roman" w:eastAsia="黑体" w:cs="Times New Roman"/>
      <w:kern w:val="0"/>
      <w:sz w:val="28"/>
      <w:szCs w:val="20"/>
    </w:rPr>
  </w:style>
  <w:style w:type="paragraph" w:customStyle="1" w:styleId="137">
    <w:name w:val="样式 加粗 段前: 7.8 磅 段后: 7.8 磅 行距: 固定值 20 磅"/>
    <w:basedOn w:val="1"/>
    <w:qFormat/>
    <w:uiPriority w:val="0"/>
    <w:pPr>
      <w:spacing w:before="60" w:after="60" w:line="360" w:lineRule="exact"/>
    </w:pPr>
    <w:rPr>
      <w:rFonts w:cs="宋体"/>
      <w:b/>
      <w:bCs/>
      <w:spacing w:val="-2"/>
      <w:sz w:val="24"/>
    </w:rPr>
  </w:style>
  <w:style w:type="character" w:customStyle="1" w:styleId="138">
    <w:name w:val="font61"/>
    <w:qFormat/>
    <w:uiPriority w:val="0"/>
    <w:rPr>
      <w:rFonts w:hint="eastAsia" w:ascii="宋体" w:hAnsi="宋体" w:eastAsia="宋体" w:cs="宋体"/>
      <w:color w:val="000000"/>
      <w:sz w:val="20"/>
      <w:szCs w:val="20"/>
      <w:u w:val="none"/>
    </w:rPr>
  </w:style>
  <w:style w:type="character" w:customStyle="1" w:styleId="139">
    <w:name w:val="font21"/>
    <w:qFormat/>
    <w:uiPriority w:val="0"/>
    <w:rPr>
      <w:rFonts w:hint="default" w:ascii="Times New Roman" w:hAnsi="Times New Roman" w:cs="Times New Roman"/>
      <w:color w:val="000000"/>
      <w:sz w:val="20"/>
      <w:szCs w:val="20"/>
      <w:u w:val="none"/>
    </w:rPr>
  </w:style>
  <w:style w:type="character" w:customStyle="1" w:styleId="140">
    <w:name w:val="font01"/>
    <w:uiPriority w:val="0"/>
    <w:rPr>
      <w:rFonts w:ascii="Arial" w:hAnsi="Arial" w:cs="Arial"/>
      <w:color w:val="000000"/>
      <w:sz w:val="20"/>
      <w:szCs w:val="20"/>
      <w:u w:val="none"/>
    </w:rPr>
  </w:style>
  <w:style w:type="character" w:customStyle="1" w:styleId="141">
    <w:name w:val="font31"/>
    <w:qFormat/>
    <w:uiPriority w:val="0"/>
    <w:rPr>
      <w:rFonts w:hint="default" w:ascii="Times New Roman" w:hAnsi="Times New Roman" w:cs="Times New Roman"/>
      <w:b/>
      <w:color w:val="000000"/>
      <w:sz w:val="20"/>
      <w:szCs w:val="20"/>
      <w:u w:val="none"/>
    </w:rPr>
  </w:style>
  <w:style w:type="paragraph" w:customStyle="1" w:styleId="142">
    <w:name w:val="正文序号 1"/>
    <w:basedOn w:val="1"/>
    <w:qFormat/>
    <w:uiPriority w:val="0"/>
    <w:pPr>
      <w:numPr>
        <w:ilvl w:val="0"/>
        <w:numId w:val="6"/>
      </w:numPr>
      <w:spacing w:before="60"/>
    </w:pPr>
    <w:rPr>
      <w:szCs w:val="24"/>
    </w:rPr>
  </w:style>
  <w:style w:type="paragraph" w:customStyle="1" w:styleId="143">
    <w:name w:val="正文序号 2"/>
    <w:basedOn w:val="1"/>
    <w:qFormat/>
    <w:uiPriority w:val="0"/>
    <w:pPr>
      <w:numPr>
        <w:ilvl w:val="1"/>
        <w:numId w:val="6"/>
      </w:numPr>
      <w:spacing w:before="60"/>
    </w:pPr>
    <w:rPr>
      <w:szCs w:val="24"/>
    </w:rPr>
  </w:style>
  <w:style w:type="paragraph" w:customStyle="1" w:styleId="144">
    <w:name w:val="正文序号 3"/>
    <w:basedOn w:val="1"/>
    <w:qFormat/>
    <w:uiPriority w:val="0"/>
    <w:pPr>
      <w:numPr>
        <w:ilvl w:val="2"/>
        <w:numId w:val="6"/>
      </w:numPr>
      <w:spacing w:before="60"/>
    </w:pPr>
    <w:rPr>
      <w:szCs w:val="24"/>
    </w:rPr>
  </w:style>
  <w:style w:type="paragraph" w:customStyle="1" w:styleId="145">
    <w:name w:val="正文序号 4"/>
    <w:basedOn w:val="1"/>
    <w:qFormat/>
    <w:uiPriority w:val="0"/>
    <w:pPr>
      <w:numPr>
        <w:ilvl w:val="3"/>
        <w:numId w:val="6"/>
      </w:numPr>
      <w:spacing w:before="60"/>
    </w:pPr>
    <w:rPr>
      <w:szCs w:val="24"/>
    </w:rPr>
  </w:style>
  <w:style w:type="paragraph" w:customStyle="1" w:styleId="146">
    <w:name w:val="列出段落4"/>
    <w:basedOn w:val="1"/>
    <w:qFormat/>
    <w:uiPriority w:val="34"/>
    <w:pPr>
      <w:ind w:firstLine="420" w:firstLineChars="200"/>
    </w:pPr>
    <w:rPr>
      <w:szCs w:val="24"/>
    </w:rPr>
  </w:style>
  <w:style w:type="paragraph" w:customStyle="1" w:styleId="147">
    <w:name w:val="纯文本1"/>
    <w:basedOn w:val="1"/>
    <w:qFormat/>
    <w:uiPriority w:val="0"/>
    <w:rPr>
      <w:rFonts w:hint="eastAsia" w:ascii="宋体" w:hAnsi="Courier New"/>
    </w:rPr>
  </w:style>
  <w:style w:type="paragraph" w:customStyle="1" w:styleId="148">
    <w:name w:val="正文缩进1"/>
    <w:basedOn w:val="1"/>
    <w:qFormat/>
    <w:uiPriority w:val="0"/>
    <w:pPr>
      <w:ind w:firstLine="420"/>
    </w:pPr>
  </w:style>
  <w:style w:type="paragraph" w:customStyle="1" w:styleId="149">
    <w:name w:val="列出段落5"/>
    <w:basedOn w:val="1"/>
    <w:qFormat/>
    <w:uiPriority w:val="0"/>
    <w:pPr>
      <w:ind w:firstLine="420" w:firstLineChars="200"/>
    </w:pPr>
    <w:rPr>
      <w:rFonts w:ascii="Calibri" w:hAnsi="Calibri"/>
      <w:szCs w:val="22"/>
    </w:rPr>
  </w:style>
  <w:style w:type="paragraph" w:customStyle="1" w:styleId="150">
    <w:name w:val="列出段落6"/>
    <w:basedOn w:val="1"/>
    <w:qFormat/>
    <w:uiPriority w:val="0"/>
    <w:pPr>
      <w:ind w:firstLine="420" w:firstLineChars="200"/>
    </w:pPr>
    <w:rPr>
      <w:rFonts w:ascii="Calibri" w:hAnsi="Calibri"/>
      <w:szCs w:val="22"/>
    </w:rPr>
  </w:style>
  <w:style w:type="character" w:customStyle="1" w:styleId="151">
    <w:name w:val="font71"/>
    <w:qFormat/>
    <w:uiPriority w:val="0"/>
    <w:rPr>
      <w:rFonts w:hint="eastAsia" w:ascii="宋体" w:hAnsi="宋体" w:eastAsia="宋体" w:cs="宋体"/>
      <w:color w:val="000000"/>
      <w:sz w:val="24"/>
      <w:szCs w:val="24"/>
      <w:u w:val="none"/>
    </w:rPr>
  </w:style>
  <w:style w:type="character" w:customStyle="1" w:styleId="152">
    <w:name w:val="font51"/>
    <w:qFormat/>
    <w:uiPriority w:val="0"/>
    <w:rPr>
      <w:rFonts w:ascii="Tahoma" w:hAnsi="Tahoma" w:eastAsia="Tahoma" w:cs="Tahoma"/>
      <w:color w:val="000000"/>
      <w:sz w:val="21"/>
      <w:szCs w:val="21"/>
      <w:u w:val="none"/>
    </w:rPr>
  </w:style>
  <w:style w:type="character" w:customStyle="1" w:styleId="153">
    <w:name w:val="标题 Char"/>
    <w:basedOn w:val="36"/>
    <w:link w:val="31"/>
    <w:qFormat/>
    <w:uiPriority w:val="0"/>
    <w:rPr>
      <w:rFonts w:ascii="Cambria" w:hAnsi="Cambria" w:eastAsia="宋体" w:cs="Times New Roman"/>
      <w:b/>
      <w:bCs/>
      <w:sz w:val="32"/>
      <w:szCs w:val="32"/>
    </w:rPr>
  </w:style>
  <w:style w:type="paragraph" w:customStyle="1" w:styleId="154">
    <w:name w:val="_Style 1"/>
    <w:basedOn w:val="1"/>
    <w:qFormat/>
    <w:uiPriority w:val="0"/>
    <w:pPr>
      <w:ind w:firstLine="420" w:firstLineChars="200"/>
    </w:pPr>
    <w:rPr>
      <w:rFonts w:ascii="Calibri" w:hAnsi="Calibri"/>
      <w:szCs w:val="22"/>
    </w:rPr>
  </w:style>
  <w:style w:type="paragraph" w:customStyle="1" w:styleId="155">
    <w:name w:val="列出段落7"/>
    <w:basedOn w:val="1"/>
    <w:qFormat/>
    <w:uiPriority w:val="34"/>
    <w:pPr>
      <w:widowControl/>
      <w:ind w:firstLine="420" w:firstLineChars="200"/>
      <w:jc w:val="left"/>
    </w:pPr>
    <w:rPr>
      <w:sz w:val="24"/>
      <w:szCs w:val="24"/>
    </w:rPr>
  </w:style>
  <w:style w:type="character" w:customStyle="1" w:styleId="156">
    <w:name w:val="List Paragraph Char"/>
    <w:link w:val="157"/>
    <w:qFormat/>
    <w:locked/>
    <w:uiPriority w:val="0"/>
    <w:rPr>
      <w:szCs w:val="24"/>
    </w:rPr>
  </w:style>
  <w:style w:type="paragraph" w:customStyle="1" w:styleId="157">
    <w:name w:val="列出段落8"/>
    <w:basedOn w:val="1"/>
    <w:link w:val="156"/>
    <w:qFormat/>
    <w:uiPriority w:val="0"/>
    <w:pPr>
      <w:ind w:firstLine="420" w:firstLineChars="200"/>
    </w:pPr>
    <w:rPr>
      <w:rFonts w:asciiTheme="minorHAnsi" w:hAnsiTheme="minorHAnsi" w:eastAsiaTheme="minorEastAsia" w:cstheme="minorBidi"/>
      <w:szCs w:val="24"/>
    </w:rPr>
  </w:style>
  <w:style w:type="character" w:customStyle="1" w:styleId="158">
    <w:name w:val="Default Char"/>
    <w:link w:val="69"/>
    <w:qFormat/>
    <w:locked/>
    <w:uiPriority w:val="0"/>
    <w:rPr>
      <w:rFonts w:ascii="Times New Roman" w:hAnsi="Times New Roman" w:eastAsia="宋体" w:cs="Times New Roman"/>
      <w:color w:val="000000"/>
      <w:kern w:val="0"/>
      <w:sz w:val="24"/>
      <w:szCs w:val="24"/>
    </w:rPr>
  </w:style>
  <w:style w:type="paragraph" w:customStyle="1" w:styleId="159">
    <w:name w:val="标题４"/>
    <w:basedOn w:val="1"/>
    <w:next w:val="1"/>
    <w:qFormat/>
    <w:uiPriority w:val="0"/>
    <w:pPr>
      <w:spacing w:before="120" w:after="120"/>
      <w:outlineLvl w:val="3"/>
    </w:pPr>
    <w:rPr>
      <w:rFonts w:ascii="Times New Roman" w:hAnsi="Times New Roman" w:eastAsia="宋体" w:cs="Times New Roman"/>
      <w:b/>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3.jpeg"/><Relationship Id="rId25" Type="http://schemas.openxmlformats.org/officeDocument/2006/relationships/package" Target="embeddings/Microsoft_Visio___7.vsdx"/><Relationship Id="rId24" Type="http://schemas.openxmlformats.org/officeDocument/2006/relationships/image" Target="media/image12.emf"/><Relationship Id="rId23" Type="http://schemas.openxmlformats.org/officeDocument/2006/relationships/package" Target="embeddings/Microsoft_Visio___6.vsdx"/><Relationship Id="rId22" Type="http://schemas.openxmlformats.org/officeDocument/2006/relationships/image" Target="media/image11.png"/><Relationship Id="rId21" Type="http://schemas.openxmlformats.org/officeDocument/2006/relationships/image" Target="media/image10.jpeg"/><Relationship Id="rId20" Type="http://schemas.openxmlformats.org/officeDocument/2006/relationships/image" Target="media/image9.emf"/><Relationship Id="rId2" Type="http://schemas.openxmlformats.org/officeDocument/2006/relationships/settings" Target="settings.xml"/><Relationship Id="rId19" Type="http://schemas.openxmlformats.org/officeDocument/2006/relationships/package" Target="embeddings/Microsoft_Visio___5.vsdx"/><Relationship Id="rId18" Type="http://schemas.openxmlformats.org/officeDocument/2006/relationships/image" Target="media/image8.emf"/><Relationship Id="rId17" Type="http://schemas.openxmlformats.org/officeDocument/2006/relationships/package" Target="embeddings/Microsoft_Visio___4.vsdx"/><Relationship Id="rId16" Type="http://schemas.openxmlformats.org/officeDocument/2006/relationships/image" Target="media/image7.emf"/><Relationship Id="rId15" Type="http://schemas.openxmlformats.org/officeDocument/2006/relationships/package" Target="embeddings/Microsoft_Visio___3.vsdx"/><Relationship Id="rId14" Type="http://schemas.openxmlformats.org/officeDocument/2006/relationships/image" Target="media/image6.emf"/><Relationship Id="rId13" Type="http://schemas.openxmlformats.org/officeDocument/2006/relationships/package" Target="embeddings/Microsoft_Visio___2.vsdx"/><Relationship Id="rId12" Type="http://schemas.openxmlformats.org/officeDocument/2006/relationships/image" Target="media/image5.emf"/><Relationship Id="rId11" Type="http://schemas.openxmlformats.org/officeDocument/2006/relationships/package" Target="embeddings/Microsoft_Visio___1.vsdx"/><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26773</Words>
  <Characters>28347</Characters>
  <Lines>107</Lines>
  <Paragraphs>30</Paragraphs>
  <TotalTime>1</TotalTime>
  <ScaleCrop>false</ScaleCrop>
  <LinksUpToDate>false</LinksUpToDate>
  <CharactersWithSpaces>29653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2023-09-22T08:51:00Z</dcterms:created>
  <dc:creator>未定义</dc:creator>
  <cp:lastModifiedBy>WPS_1636026673</cp:lastModifiedBy>
  <dcterms:modified xsi:type="dcterms:W3CDTF">2023-11-01T01:34:19Z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73A6C9F265AC4F60A4FBABC57FB79831_12</vt:lpwstr>
  </property>
</Properties>
</file>